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Iceland</w:t>
      </w:r>
    </w:p>
    <w:p>
      <w:pPr>
        <w:pStyle w:val="Heading2"/>
      </w:pPr>
      <w:r>
        <w:rPr/>
        <w:t xml:space="preserve">Second instance determination - Iceland</w:t>
      </w:r>
    </w:p>
    <w:p>
      <w:pPr>
        <w:numPr>
          <w:ilvl w:val="0"/>
          <w:numId w:val="4"/>
        </w:numPr>
      </w:pPr>
      <w:hyperlink w:anchor="section-990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Iceland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Iceland, please refer to </w:t>
      </w:r>
      <w:hyperlink r:id="rId8" w:history="1">
        <w:r>
          <w:rPr>
            <w:color w:val="0444c4"/>
            <w:u w:val="single"/>
          </w:rPr>
          <w:t xml:space="preserve">Second Instance Determination - Iceland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Iceland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0537A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90" TargetMode="External"/><Relationship Id="rId8" Type="http://schemas.openxmlformats.org/officeDocument/2006/relationships/hyperlink" Target="https://caselaw.euaa.europa.eu/Pages/asylum-appeals-systems.aspx?country=Iceland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2026-10-15T00:00:59+00:00</dcterms:created>
  <dcterms:modified xsi:type="dcterms:W3CDTF">2026-10-15T00:00:59+00:00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