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Greece</w:t>
      </w:r>
    </w:p>
    <w:p>
      <w:pPr>
        <w:pStyle w:val="Heading2"/>
      </w:pPr>
      <w:r>
        <w:rPr/>
        <w:t xml:space="preserve">Second instance determination - Greece</w:t>
      </w:r>
    </w:p>
    <w:p>
      <w:pPr>
        <w:numPr>
          <w:ilvl w:val="0"/>
          <w:numId w:val="4"/>
        </w:numPr>
      </w:pPr>
      <w:hyperlink w:anchor="section-986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Greece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Greece, please refer to </w:t>
      </w:r>
      <w:hyperlink r:id="rId8" w:history="1">
        <w:r>
          <w:rPr>
            <w:color w:val="0444c4"/>
            <w:u w:val="single"/>
          </w:rPr>
          <w:t xml:space="preserve">Second Instance Determination - Greece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BC35A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986" TargetMode="External"/><Relationship Id="rId8" Type="http://schemas.openxmlformats.org/officeDocument/2006/relationships/hyperlink" Target="https://caselaw.euaa.europa.eu/Pages/asylum-appeals-systems.aspx?country=Greece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2026-10-14T23:10:26+00:00</dcterms:created>
  <dcterms:modified xsi:type="dcterms:W3CDTF">2026-10-14T23:10:26+00:00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