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Second instance determination - France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France, please refer to </w:t>
      </w:r>
      <w:hyperlink r:id="rId7" w:history="1">
        <w:r>
          <w:rPr>
            <w:color w:val="0444c4"/>
            <w:u w:val="single"/>
          </w:rPr>
          <w:t xml:space="preserve">Second Instance Determination - France</w:t>
        </w:r>
      </w:hyperlink>
      <w:r>
        <w:rPr/>
        <w:t xml:space="preserve"> on the </w:t>
      </w:r>
      <w:hyperlink r:id="rId8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p>
    <w:pPr>
      <w:spacing w:before="0" w:after="0"/>
    </w:pPr>
    <w:r>
      <w:rPr>
        <w:sz w:val="16"/>
        <w:szCs w:val="16"/>
      </w:rPr>
      <w:t xml:space="preserve">Second instance determination - France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selaw.euaa.europa.eu/Pages/asylum-appeals-systems.aspx?country=France" TargetMode="External"/><Relationship Id="rId8" Type="http://schemas.openxmlformats.org/officeDocument/2006/relationships/hyperlink" Target="https://caselaw.euaa.europa.eu/Pages/default.aspx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2026-10-15T02:06:51+00:00</dcterms:created>
  <dcterms:modified xsi:type="dcterms:W3CDTF">2026-10-15T02:06:51+00:00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