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Finland</w:t>
      </w:r>
    </w:p>
    <w:p>
      <w:pPr>
        <w:pStyle w:val="Heading2"/>
      </w:pPr>
      <w:r>
        <w:rPr/>
        <w:t xml:space="preserve">Second instance determination - Finland</w:t>
      </w:r>
    </w:p>
    <w:p>
      <w:pPr>
        <w:numPr>
          <w:ilvl w:val="0"/>
          <w:numId w:val="4"/>
        </w:numPr>
      </w:pPr>
      <w:hyperlink w:anchor="section-967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Finland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Finland, please refer to </w:t>
      </w:r>
      <w:hyperlink r:id="rId8" w:history="1">
        <w:r>
          <w:rPr>
            <w:color w:val="0444c4"/>
            <w:u w:val="single"/>
          </w:rPr>
          <w:t xml:space="preserve">Second Instance Determination - Finland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Finland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2B5DA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967" TargetMode="External"/><Relationship Id="rId8" Type="http://schemas.openxmlformats.org/officeDocument/2006/relationships/hyperlink" Target="https://caselaw.euaa.europa.eu/Pages/asylum-appeals-systems.aspx?country=Finland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2026-10-14T23:10:22+00:00</dcterms:created>
  <dcterms:modified xsi:type="dcterms:W3CDTF">2026-10-14T23:10:22+00:00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