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Second instance determination - Estonia</w:t>
      </w:r>
    </w:p>
    <w:p>
      <w:pPr>
        <w:pStyle w:val="Heading2"/>
      </w:pPr>
      <w:r>
        <w:rPr/>
        <w:t xml:space="preserve">Overview of second instance determination</w:t>
      </w:r>
    </w:p>
    <w:p>
      <w:pPr/>
      <w:r>
        <w:rPr/>
        <w:t xml:space="preserve">For information on second instance determination in Estonia, please refer to </w:t>
      </w:r>
      <w:hyperlink r:id="rId7" w:history="1">
        <w:r>
          <w:rPr>
            <w:color w:val="0444c4"/>
            <w:u w:val="single"/>
          </w:rPr>
          <w:t xml:space="preserve">Second Instance Determination - Estonia</w:t>
        </w:r>
      </w:hyperlink>
      <w:r>
        <w:rPr/>
        <w:t xml:space="preserve"> on the </w:t>
      </w:r>
      <w:hyperlink r:id="rId8" w:history="1">
        <w:r>
          <w:rPr>
            <w:color w:val="0444c4"/>
            <w:u w:val="single"/>
          </w:rPr>
          <w:t xml:space="preserve">EUAA Caselaw Database</w:t>
        </w:r>
      </w:hyperlink>
      <w:r>
        <w:rPr/>
        <w:t xml:space="preserve">.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Second instance determination - Estonia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selaw.euaa.europa.eu/Pages/asylum-appeals-systems.aspx?country=Estonia" TargetMode="External"/><Relationship Id="rId8" Type="http://schemas.openxmlformats.org/officeDocument/2006/relationships/hyperlink" Target="https://caselaw.euaa.europa.eu/Pages/default.aspx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2026-10-14T23:13:07+00:00</dcterms:created>
  <dcterms:modified xsi:type="dcterms:W3CDTF">2026-10-14T23:13:07+00:00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