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Cyprus</w:t>
      </w:r>
    </w:p>
    <w:p>
      <w:pPr>
        <w:pStyle w:val="Heading2"/>
      </w:pPr>
      <w:r>
        <w:rPr/>
        <w:t xml:space="preserve">Second instance determination - Cyprus</w:t>
      </w:r>
    </w:p>
    <w:p>
      <w:pPr>
        <w:numPr>
          <w:ilvl w:val="0"/>
          <w:numId w:val="4"/>
        </w:numPr>
      </w:pPr>
      <w:hyperlink w:anchor="section-959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Cyprus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Cyprus, please refer to </w:t>
      </w:r>
      <w:hyperlink r:id="rId8" w:history="1">
        <w:r>
          <w:rPr>
            <w:color w:val="0444c4"/>
            <w:u w:val="single"/>
          </w:rPr>
          <w:t xml:space="preserve">Second Instance Determination - Cyprus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Cyprus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2FB9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59" TargetMode="External"/><Relationship Id="rId8" Type="http://schemas.openxmlformats.org/officeDocument/2006/relationships/hyperlink" Target="https://caselaw.euaa.europa.eu/Pages/asylum-appeals-systems.aspx?country=Cyprus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2026-10-14T19:52:02+00:00</dcterms:created>
  <dcterms:modified xsi:type="dcterms:W3CDTF">2026-10-14T19:52:02+00:00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