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Croatia</w:t>
      </w:r>
    </w:p>
    <w:p>
      <w:pPr>
        <w:pStyle w:val="Heading2"/>
      </w:pPr>
      <w:r>
        <w:rPr/>
        <w:t xml:space="preserve">Second instance determination - Croatia</w:t>
      </w:r>
    </w:p>
    <w:p>
      <w:pPr>
        <w:numPr>
          <w:ilvl w:val="0"/>
          <w:numId w:val="4"/>
        </w:numPr>
      </w:pPr>
      <w:hyperlink w:anchor="section-957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Croatia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Croatia, please refer to </w:t>
      </w:r>
      <w:hyperlink r:id="rId8" w:history="1">
        <w:r>
          <w:rPr>
            <w:color w:val="var(--word-link)"/>
          </w:rPr>
          <w:t xml:space="preserve">Second Instance Determination - Croatia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Croatia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BF7E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957" TargetMode="External"/><Relationship Id="rId8" Type="http://schemas.openxmlformats.org/officeDocument/2006/relationships/hyperlink" Target="https://caselaw.euaa.europa.eu/Pages/asylum-appeals-systems.aspx?country=Croatia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2026-07-12T01:50:42+00:00</dcterms:created>
  <dcterms:modified xsi:type="dcterms:W3CDTF">2026-07-12T01:50:42+00:00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