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Austria</w:t>
      </w:r>
    </w:p>
    <w:p>
      <w:pPr>
        <w:pStyle w:val="Heading2"/>
      </w:pPr>
      <w:r>
        <w:rPr/>
        <w:t xml:space="preserve">Second instance determination - Austria</w:t>
      </w:r>
    </w:p>
    <w:p>
      <w:pPr>
        <w:numPr>
          <w:ilvl w:val="0"/>
          <w:numId w:val="4"/>
        </w:numPr>
      </w:pPr>
      <w:hyperlink w:anchor="section-951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Austria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Austria, please refer to </w:t>
      </w:r>
      <w:hyperlink r:id="rId8" w:history="1">
        <w:r>
          <w:rPr>
            <w:color w:val="0444c4"/>
            <w:u w:val="single"/>
          </w:rPr>
          <w:t xml:space="preserve">Second Instance Determination - Austria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Austria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BA892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951" TargetMode="External"/><Relationship Id="rId8" Type="http://schemas.openxmlformats.org/officeDocument/2006/relationships/hyperlink" Target="https://caselaw.euaa.europa.eu/Pages/asylum-appeals-systems.aspx?country=Austria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2026-08-29T00:34:56+00:00</dcterms:created>
  <dcterms:modified xsi:type="dcterms:W3CDTF">2026-08-29T00:34:56+00:00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