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UNHCR issued a fact sheet on Statelessness in Norway</w:t>
        </w:r>
      </w:hyperlink>
    </w:p>
    <w:p>
      <w:pPr/>
      <w:r>
        <w:rPr/>
        <w:t xml:space="preserve">In October 2025, UNHCR issued the fact sheet “Statelessness in Norway – 10 Facts”. It includes facts, statistical trends, and relevant recommendations.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United Nations High Commissioner for Refugees (3 November, 2025), [10 facts on statelessness in Norway],</w:t>
      </w:r>
      <w:hyperlink r:id="rId8" w:history="1">
        <w:r>
          <w:rPr>
            <w:color w:val="0444c4"/>
            <w:u w:val="single"/>
          </w:rPr>
          <w:t xml:space="preserve">https://www.unhcr.org/neu/136809-10-facts-on-statelessness-in-norway.html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03.11.2025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Statelessness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0E639E1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unhcr-issued-fact-sheet-statelessness-norway" TargetMode="External"/><Relationship Id="rId8" Type="http://schemas.openxmlformats.org/officeDocument/2006/relationships/hyperlink" Target="https://www.unhcr.org/neu/136809-10-facts-on-statelessness-in-norway.html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2026-10-15T06:08:10+00:00</dcterms:created>
  <dcterms:modified xsi:type="dcterms:W3CDTF">2026-10-15T06:08:10+00:00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