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Commission identifies Estonia at risk of migratory pressure in the first Annual Migration Cycle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 the first Annual Migration Management Cycle under the Pact on Migration and Asylum, the European Commission identified Estonia, among other Member States, as being at risk of migratory pressure. As a result, Estonia will have priority access to the EU Migration Support Toolbox, and its situation will be re-evaluated swiftly should conditions change. The Commission also noted that Estonia, among other Member States, faces a significant migratory situation due to cumulative pressures over the past five years and may therefore request a partial or full deduction from its contributions to the Solidarity Pool.</w:t>
      </w:r>
    </w:p>
    <w:p>
      <w:pPr/>
      <w:r>
        <w:rPr/>
        <w:t xml:space="preserve">This will apply from the full entry into application of the Regulation on Asylum and Migration Management (AMMR).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Commission (11 November, 2025), [Commission launches first Annual Migration Management Cycle under the Pact on Migration and Asylum],</w:t>
      </w:r>
      <w:hyperlink r:id="rId9" w:history="1">
        <w:r>
          <w:rPr>
            <w:color w:val="var(--word-link)"/>
          </w:rPr>
          <w:t xml:space="preserve">https://ec.europa.eu/commission/presscorner/detail/en/ip_25_2655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Estonia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Asylum, Asylum Migration Management Regulation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6FDEA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stonia/commission-identifies-estonia-risk-migratory-pressure-first-annual-migra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ec.europa.eu/commission/presscorner/detail/en/ip_25_2655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2026-07-07T08:27:48+00:00</dcterms:created>
  <dcterms:modified xsi:type="dcterms:W3CDTF">2026-07-07T08:27:48+00:00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