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2"/>
      </w:pPr>
      <w:hyperlink r:id="rId7" w:history="1">
        <w:r>
          <w:rPr>
            <w:color w:val="0444c4"/>
            <w:u w:val="single"/>
          </w:rPr>
          <w:t xml:space="preserve">The Aliens Act adds an obligation to cooperate on removal and new grounds for withdrawl of residence permit</w:t>
        </w:r>
      </w:hyperlink>
    </w:p>
    <w:p>
      <w:pPr/>
      <w:hyperlink r:id="rId8" w:history="1">
        <w:r>
          <w:rPr>
            <w:color w:val="0444c4"/>
            <w:u w:val="single"/>
          </w:rPr>
          <w:t xml:space="preserve"> Go back to timeline</w:t>
        </w:r>
      </w:hyperlink>
    </w:p>
    <w:p>
      <w:pPr/>
      <w:r>
        <w:rPr/>
        <w:t xml:space="preserve">The Finnish Immigration Service informed that the Aliens Act is amended as of 6 May 2025 with the following: </w:t>
      </w:r>
    </w:p>
    <w:p>
      <w:pPr>
        <w:numPr>
          <w:ilvl w:val="0"/>
          <w:numId w:val="4"/>
        </w:numPr>
      </w:pPr>
      <w:r>
        <w:rPr/>
        <w:t xml:space="preserve">obligation to cooperate after receiving a decision on removal and means that the person must voluntarily leave Finland within the time limit;</w:t>
      </w:r>
    </w:p>
    <w:p>
      <w:pPr>
        <w:numPr>
          <w:ilvl w:val="0"/>
          <w:numId w:val="4"/>
        </w:numPr>
      </w:pPr>
      <w:r>
        <w:rPr/>
        <w:t xml:space="preserve">a foreigner can apply for the extension of the time limit for voluntary return, for special reasons, and upon payment of a EUR 100 processing fee; clarifications on entry bans; </w:t>
      </w:r>
    </w:p>
    <w:p>
      <w:pPr/>
      <w:r>
        <w:rPr/>
        <w:t xml:space="preserve">withdrawal of residence permit can be applied within the following conditions: A fixed-term, permanent or P-EU permit may be withdrawn if: </w:t>
      </w:r>
    </w:p>
    <w:p>
      <w:pPr>
        <w:numPr>
          <w:ilvl w:val="0"/>
          <w:numId w:val="5"/>
        </w:numPr>
      </w:pPr>
      <w:r>
        <w:rPr/>
        <w:t xml:space="preserve">the permit holder's refugee status has been ended because the person has committed a serious crime the permit holder is a danger to the community or to national security or the permit holder's subsidiary protection status has been ended because the person has committed a serious crime.</w:t>
      </w:r>
    </w:p>
    <w:p>
      <w:pPr>
        <w:numPr>
          <w:ilvl w:val="0"/>
          <w:numId w:val="5"/>
        </w:numPr>
      </w:pPr>
      <w:r>
        <w:rPr/>
        <w:t xml:space="preserve">the duration of detention related to decisions on removal is extended.</w:t>
      </w:r>
    </w:p>
    <w:p>
      <w:pPr/>
      <w:r>
        <w:rPr>
          <w:b w:val="1"/>
          <w:bCs w:val="1"/>
        </w:rPr>
        <w:t xml:space="preserve">Source(s)</w:t>
      </w:r>
    </w:p>
    <w:p>
      <w:pPr>
        <w:numPr>
          <w:ilvl w:val="0"/>
          <w:numId w:val="6"/>
        </w:numPr>
      </w:pPr>
      <w:r>
        <w:rPr/>
        <w:t xml:space="preserve">Finnish Immigration Service | Maahanmuuttovirasto (6 May, 2025), [Amendments to Aliens Act on 6 May: new obligation to cooperate and changes to entry bans and withdrawal of residence permits],</w:t>
      </w:r>
      <w:hyperlink r:id="rId9" w:history="1">
        <w:r>
          <w:rPr>
            <w:color w:val="0444c4"/>
            <w:u w:val="single"/>
          </w:rPr>
          <w:t xml:space="preserve">https://migri.fi/en/-/amendments-to-aliens-act-on-6-may-new-obligation-to-cooperate-and-changes-to-entry-bans-and-withdrawal-of-residence-permits</w:t>
        </w:r>
      </w:hyperlink>
    </w:p>
    <w:p>
      <w:pPr/>
      <w:r>
        <w:rPr>
          <w:b w:val="1"/>
          <w:bCs w:val="1"/>
        </w:rPr>
        <w:t xml:space="preserve">Date of development</w:t>
      </w:r>
    </w:p>
    <w:p>
      <w:pPr/>
      <w:r>
        <w:rPr/>
        <w:t xml:space="preserve">06.05.2025</w:t>
      </w:r>
    </w:p>
    <w:p>
      <w:pPr/>
      <w:r>
        <w:rPr>
          <w:b w:val="1"/>
          <w:bCs w:val="1"/>
        </w:rPr>
        <w:t xml:space="preserve">Country</w:t>
      </w:r>
    </w:p>
    <w:p>
      <w:pPr/>
      <w:r>
        <w:rPr/>
        <w:t xml:space="preserve">Finland</w:t>
      </w:r>
    </w:p>
    <w:p>
      <w:pPr/>
      <w:r>
        <w:rPr>
          <w:b w:val="1"/>
          <w:bCs w:val="1"/>
        </w:rPr>
        <w:t xml:space="preserve">Thematic area(s)</w:t>
      </w:r>
    </w:p>
    <w:p>
      <w:pPr/>
      <w:r>
        <w:rPr/>
        <w:t xml:space="preserve">Content of protection</w:t>
      </w:r>
    </w:p>
    <w:p>
      <w:pPr/>
      <w:r>
        <w:rPr>
          <w:b w:val="1"/>
          <w:bCs w:val="1"/>
        </w:rPr>
        <w:t xml:space="preserve">Development type</w:t>
      </w:r>
    </w:p>
    <w:p>
      <w:pPr/>
      <w:r>
        <w:rPr/>
        <w:t xml:space="preserve">Legislation</w:t>
      </w:r>
    </w:p>
    <w:sectPr>
      <w:headerReference w:type="default" r:id="rId10"/>
      <w:footerReference w:type="default" r:id="rId11"/>
      <w:pgSz w:orient="portrait" w:w="11905.511811023622" w:h="16837.79527559055"/>
      <w:pgMar w:top="1701" w:right="1417" w:bottom="1417" w:left="141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42" w:after="284"/>
      <w:pBdr>
        <w:bottom w:val="single" w:sz="4" w:color="1071D8"/>
      </w:pBdr>
    </w:pPr>
    <w:r>
      <w:rPr/>
      <w:t xml:space="preserve"/>
    </w:r>
  </w:p>
  <w:p>
    <w:pPr>
      <w:spacing w:before="0" w:after="0"/>
    </w:pPr>
    <w:r>
      <w:rPr>
        <w:sz w:val="16"/>
        <w:szCs w:val="16"/>
      </w:rPr>
      <w:t xml:space="preserve">© European Union Agency for Asylum, 2026. Reproduction is authorised, provided the source is acknowledged.</w:t>
    </w:r>
  </w:p>
  <w:p>
    <w:pPr>
      <w:spacing w:before="0" w:after="0"/>
    </w:pPr>
    <w:r>
      <w:rPr>
        <w:sz w:val="16"/>
        <w:szCs w:val="16"/>
      </w:rPr>
      <w:t xml:space="preserve">Document generated on 30-10-2026</w:t>
    </w:r>
  </w:p>
  <w:tbl>
    <w:tblGrid>
      <w:gridCol w:w="7500" w:type="dxa"/>
      <w:gridCol w:w="1572" w:type="dxa"/>
    </w:tblGrid>
    <w:tr>
      <w:trPr/>
      <w:tc>
        <w:tcPr>
          <w:tcW w:w="7500" w:type="dxa"/>
          <w:noWrap/>
        </w:tcPr>
        <w:p>
          <w:pPr>
            <w:spacing w:before="0" w:after="0"/>
          </w:pPr>
          <w:r>
            <w:rPr>
              <w:sz w:val="16"/>
              <w:szCs w:val="16"/>
            </w:rPr>
            <w:t xml:space="preserve">For more information, please contact: </w:t>
          </w:r>
          <w:hyperlink r:id="rId1" w:history="1">
            <w:r>
              <w:rPr>
                <w:color w:val="0444c4"/>
                <w:sz w:val="16"/>
                <w:szCs w:val="16"/>
                <w:u w:val="single"/>
              </w:rPr>
              <w:t xml:space="preserve">ias@euaa.europa.eu</w:t>
            </w:r>
          </w:hyperlink>
        </w:p>
      </w:tc>
      <w:tc>
        <w:tcPr>
          <w:tcW w:w="1572" w:type="dxa"/>
          <w:noWrap/>
        </w:tcPr>
        <w:p>
          <w:pPr>
            <w:jc w:val="end"/>
            <w:spacing w:before="0" w:after="0"/>
          </w:pPr>
          <w:r>
            <w:fldChar w:fldCharType="begin"/>
          </w:r>
          <w:r>
            <w:rPr>
              <w:sz w:val="16"/>
              <w:szCs w:val="16"/>
            </w:rPr>
            <w:instrText xml:space="preserve">PAGE</w:instrText>
          </w:r>
          <w:r>
            <w:fldChar w:fldCharType="separate"/>
          </w:r>
          <w:r>
            <w:fldChar w:fldCharType="end"/>
          </w:r>
        </w:p>
      </w:tc>
    </w:tr>
  </w:tbl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1884" w:type="dxa"/>
      <w:gridCol w:w="4040" w:type="dxa"/>
      <w:gridCol w:w="3148" w:type="dxa"/>
    </w:tblGrid>
    <w:tr>
      <w:trPr/>
      <w:tc>
        <w:tcPr>
          <w:tcW w:w="1884" w:type="dxa"/>
          <w:noWrap/>
        </w:tcPr>
        <w:p>
          <w:pPr>
            <w:jc w:val="start"/>
          </w:pPr>
          <w:r>
            <w:pict>
              <v:shape type="#_x0000_t75" stroked="f" style="width:80pt; height:39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040" w:type="dxa"/>
          <w:noWrap/>
        </w:tcPr>
        <w:p>
          <w:pPr>
            <w:jc w:val="start"/>
          </w:pPr>
          <w:r>
            <w:pict>
              <v:shape type="#_x0000_t75" stroked="f" style="width:202pt; height:41pt; margin-left:0pt; margin-top:0pt; mso-position-horizontal:left; mso-position-vertical:top; mso-position-horizontal-relative:char; mso-position-vertical-relative:line;">
                <w10:wrap type="inline"/>
                <v:imagedata r:id="rId2" o:title=""/>
              </v:shape>
            </w:pict>
          </w:r>
        </w:p>
      </w:tc>
      <w:tc>
        <w:tcPr>
          <w:tcW w:w="3148" w:type="dxa"/>
          <w:noWrap/>
        </w:tcPr>
        <w:p>
          <w:pPr>
            <w:jc w:val="end"/>
          </w:pPr>
          <w:r>
            <w:rPr>
              <w:sz w:val="16"/>
              <w:szCs w:val="16"/>
              <w:i w:val="1"/>
              <w:iCs w:val="1"/>
            </w:rPr>
            <w:t xml:space="preserve"/>
          </w:r>
        </w:p>
      </w:tc>
    </w:tr>
  </w:tbl>
  <w:p>
    <w:pPr>
      <w:spacing w:after="35"/>
    </w:pPr>
    <w:r>
      <w:rPr/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ADB73C8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525A74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77900F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480" w:after="480"/>
    </w:pPr>
    <w:rPr>
      <w:rFonts w:ascii="Calibri" w:hAnsi="Calibri" w:eastAsia="Calibri" w:cs="Calibri"/>
      <w:color w:val="24234C"/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240"/>
    </w:pPr>
    <w:rPr>
      <w:rFonts w:ascii="Calibri" w:hAnsi="Calibri" w:eastAsia="Calibri" w:cs="Calibri"/>
      <w:color w:val="24234C"/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240" w:after="120"/>
    </w:pPr>
    <w:rPr>
      <w:rFonts w:ascii="Calibri" w:hAnsi="Calibri" w:eastAsia="Calibri" w:cs="Calibri"/>
      <w:color w:val="24234C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ip.euaa.europa.eu/developments/finland/aliens-act-adds-obligation-cooperate-removal-and-new-grounds-withdrawl" TargetMode="External"/><Relationship Id="rId8" Type="http://schemas.openxmlformats.org/officeDocument/2006/relationships/hyperlink" Target="/developments" TargetMode="External"/><Relationship Id="rId9" Type="http://schemas.openxmlformats.org/officeDocument/2006/relationships/hyperlink" Target="https://migri.fi/en/-/amendments-to-aliens-act-on-6-may-new-obligation-to-cooperate-and-changes-to-entry-bans-and-withdrawal-of-residence-permits" TargetMode="External"/><Relationship Id="rId10" Type="http://schemas.openxmlformats.org/officeDocument/2006/relationships/header" Target="header1.xml"/><Relationship Id="rId11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ias@euaa.europa.eu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Relationship Id="rId2" Type="http://schemas.openxmlformats.org/officeDocument/2006/relationships/image" Target="media/header1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2026-10-30T06:45:55+00:00</dcterms:created>
  <dcterms:modified xsi:type="dcterms:W3CDTF">2026-10-30T06:45:55+00:00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