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agreements with private companies to employ refugees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Training and employment programmes for applicants and beneficiaries of international protection are been consolidated with the signature of new agreements with private companies (e.g. Association of Young Farmers - ASAJA - of Huelva). </w:t>
      </w:r>
    </w:p>
    <w:p>
      <w:pPr/>
      <w:r>
        <w:rPr/>
        <w:t xml:space="preserve">More than 300 people were hired during the first quarter of 2025.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(12 May, 2025), El Ministerio de Migraciones amplía su programa de inserción laboral de personas refugiadas con nuevas empresas y convenios [The Ministry of Migration expands its refugee employment program with new companies and agreements],</w:t>
      </w:r>
      <w:hyperlink r:id="rId9" w:history="1">
        <w:r>
          <w:rPr>
            <w:color w:val="0444c4"/>
            <w:u w:val="single"/>
          </w:rPr>
          <w:t xml:space="preserve">https://www.inclusion.gob.es/w/el-ministerio-de-migraciones-amplia-su-programa-de-insercion-laboral-de-personas-refugiadas-con-nuevas-empresas-y-convenios-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2F864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new-agreements-private-companies-employ-refugee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nclusion.gob.es/w/el-ministerio-de-migraciones-amplia-su-programa-de-insercion-laboral-de-personas-refugiadas-con-nuevas-empresas-y-convenios-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2026-09-14T23:22:13+00:00</dcterms:created>
  <dcterms:modified xsi:type="dcterms:W3CDTF">2026-09-14T23:22:13+00:00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