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State expenditure on reception services tops EUR 1.005 billion in 2024 zzzzzz</w:t>
        </w:r>
      </w:hyperlink>
    </w:p>
    <w:p>
      <w:pPr/>
      <w:r>
        <w:rPr/>
        <w:t xml:space="preserve">In a reply to a parliamentary question, the Minister of Justice disclosed the expenditure on reception in recent years. In 2024, the costs for the provision of reception services amounted to EUR 1.005 billion, while the budget allocated for this service in 2025 was EUR 1.2 billion.</w:t>
      </w:r>
      <w:br/>
      <w:br/>
      <w:r>
        <w:rPr/>
        <w:t xml:space="preserve">Overall costs for IPAS accommodation 2019-2024:</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2019</w:t>
            </w:r>
          </w:p>
        </w:tc>
        <w:tc>
          <w:tcPr>
            <w:tcW w:w="6078" w:type="dxa"/>
            <w:noWrap/>
          </w:tcPr>
          <w:p>
            <w:pPr/>
            <w:r>
              <w:rPr/>
              <w:t xml:space="preserve">EUR 183,215,000</w:t>
            </w:r>
          </w:p>
        </w:tc>
      </w:tr>
      <w:tr>
        <w:trPr/>
        <w:tc>
          <w:tcPr>
            <w:tcW w:w="2994" w:type="dxa"/>
            <w:noWrap/>
          </w:tcPr>
          <w:p>
            <w:pPr/>
            <w:r>
              <w:rPr/>
              <w:t xml:space="preserve">2020</w:t>
            </w:r>
          </w:p>
        </w:tc>
        <w:tc>
          <w:tcPr>
            <w:tcW w:w="6078" w:type="dxa"/>
            <w:noWrap/>
          </w:tcPr>
          <w:p>
            <w:pPr/>
            <w:r>
              <w:rPr/>
              <w:t xml:space="preserve">EUR 183,215,000</w:t>
            </w:r>
          </w:p>
        </w:tc>
      </w:tr>
      <w:tr>
        <w:trPr/>
        <w:tc>
          <w:tcPr>
            <w:tcW w:w="2994" w:type="dxa"/>
            <w:noWrap/>
          </w:tcPr>
          <w:p>
            <w:pPr/>
            <w:r>
              <w:rPr/>
              <w:t xml:space="preserve">2021</w:t>
            </w:r>
          </w:p>
        </w:tc>
        <w:tc>
          <w:tcPr>
            <w:tcW w:w="6078" w:type="dxa"/>
            <w:noWrap/>
          </w:tcPr>
          <w:p>
            <w:pPr/>
            <w:r>
              <w:rPr/>
              <w:t xml:space="preserve">EUR 190,856,000</w:t>
            </w:r>
          </w:p>
        </w:tc>
      </w:tr>
      <w:tr>
        <w:trPr/>
        <w:tc>
          <w:tcPr>
            <w:tcW w:w="2994" w:type="dxa"/>
            <w:noWrap/>
          </w:tcPr>
          <w:p>
            <w:pPr/>
            <w:r>
              <w:rPr/>
              <w:t xml:space="preserve">2022</w:t>
            </w:r>
          </w:p>
        </w:tc>
        <w:tc>
          <w:tcPr>
            <w:tcW w:w="6078" w:type="dxa"/>
            <w:noWrap/>
          </w:tcPr>
          <w:p>
            <w:pPr/>
            <w:r>
              <w:rPr/>
              <w:t xml:space="preserve">EUR 356,554,000</w:t>
            </w:r>
          </w:p>
        </w:tc>
      </w:tr>
      <w:tr>
        <w:trPr/>
        <w:tc>
          <w:tcPr>
            <w:tcW w:w="2994" w:type="dxa"/>
            <w:noWrap/>
          </w:tcPr>
          <w:p>
            <w:pPr/>
            <w:r>
              <w:rPr/>
              <w:t xml:space="preserve">2023</w:t>
            </w:r>
          </w:p>
        </w:tc>
        <w:tc>
          <w:tcPr>
            <w:tcW w:w="6078" w:type="dxa"/>
            <w:noWrap/>
          </w:tcPr>
          <w:p>
            <w:pPr/>
            <w:r>
              <w:rPr/>
              <w:t xml:space="preserve">EUR 651,756,000</w:t>
            </w:r>
          </w:p>
        </w:tc>
      </w:tr>
      <w:tr>
        <w:trPr/>
        <w:tc>
          <w:tcPr>
            <w:tcW w:w="2994" w:type="dxa"/>
            <w:noWrap/>
          </w:tcPr>
          <w:p>
            <w:pPr/>
            <w:r>
              <w:rPr/>
              <w:t xml:space="preserve">2024</w:t>
            </w:r>
          </w:p>
        </w:tc>
        <w:tc>
          <w:tcPr>
            <w:tcW w:w="6078" w:type="dxa"/>
            <w:noWrap/>
          </w:tcPr>
          <w:p>
            <w:pPr/>
            <w:r>
              <w:rPr/>
              <w:t xml:space="preserve">EUR 1.005 billion</w:t>
            </w:r>
          </w:p>
        </w:tc>
      </w:tr>
    </w:tbl>
    <w:p>
      <w:pPr/>
      <w:r>
        <w:rPr>
          <w:b w:val="1"/>
          <w:bCs w:val="1"/>
        </w:rPr>
        <w:t xml:space="preserve">Source(s)</w:t>
      </w:r>
    </w:p>
    <w:p>
      <w:pPr>
        <w:numPr>
          <w:ilvl w:val="0"/>
          <w:numId w:val="4"/>
        </w:numPr>
      </w:pPr>
      <w:r>
        <w:rPr/>
        <w:t xml:space="preserve">House of Oireachtas | Tithe an Oierachtais (13 May, 2025), [Parliamentary Questions 871 and 872],</w:t>
      </w:r>
      <w:hyperlink r:id="rId8" w:history="1">
        <w:r>
          <w:rPr>
            <w:color w:val="var(--word-link)"/>
          </w:rPr>
          <w:t xml:space="preserve">https://www.oireachtas.ie/en/debates/question/2025-05-13/871/#pq-answers-871_872</w:t>
        </w:r>
      </w:hyperlink>
    </w:p>
    <w:p>
      <w:pPr/>
      <w:r>
        <w:rPr>
          <w:b w:val="1"/>
          <w:bCs w:val="1"/>
        </w:rPr>
        <w:t xml:space="preserve">Date of development</w:t>
      </w:r>
    </w:p>
    <w:p>
      <w:pPr/>
      <w:r>
        <w:rPr/>
        <w:t xml:space="preserve">13.05.2025</w:t>
      </w:r>
    </w:p>
    <w:p>
      <w:pPr/>
      <w:r>
        <w:rPr>
          <w:b w:val="1"/>
          <w:bCs w:val="1"/>
        </w:rPr>
        <w:t xml:space="preserve">Country</w:t>
      </w:r>
    </w:p>
    <w:p>
      <w:pPr/>
      <w:r>
        <w:rPr/>
        <w:t xml:space="preserve">Ireland</w:t>
      </w:r>
    </w:p>
    <w:p>
      <w:pPr/>
      <w:r>
        <w:rPr>
          <w:b w:val="1"/>
          <w:bCs w:val="1"/>
        </w:rPr>
        <w:t xml:space="preserve">Thematic area(s)</w:t>
      </w:r>
    </w:p>
    <w:p>
      <w:pPr/>
      <w:r>
        <w:rPr/>
        <w:t xml:space="preserve">Reception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314E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state-expenditure-reception-services-tops-eur-1005-billion-2024" TargetMode="External"/><Relationship Id="rId8" Type="http://schemas.openxmlformats.org/officeDocument/2006/relationships/hyperlink" Target="https://www.oireachtas.ie/en/debates/question/2025-05-13/871/#pq-answers-871_87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2026-07-17T15:58:29+00:00</dcterms:created>
  <dcterms:modified xsi:type="dcterms:W3CDTF">2026-07-17T15:58:29+00:00</dcterms:modified>
</cp:coreProperties>
</file>

<file path=docProps/custom.xml><?xml version="1.0" encoding="utf-8"?>
<Properties xmlns="http://schemas.openxmlformats.org/officeDocument/2006/custom-properties" xmlns:vt="http://schemas.openxmlformats.org/officeDocument/2006/docPropsVTypes"/>
</file>