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supports the EU idea of a Common System for Returns zzzzzz</w:t>
        </w:r>
      </w:hyperlink>
    </w:p>
    <w:p>
      <w:pPr/>
      <w:r>
        <w:rPr/>
        <w:t xml:space="preserve">The Ministry of the Interior expressed interest in the EU Commission proposal for a new return regulation which would establish a Common European System for Returns. The Finnish Government fully supports the initiative and considers it will ensure effective returns, which are prerequisite for a credible migration system.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(15 May, 2025), [Government supports Common European System for Returns],</w:t>
      </w:r>
      <w:hyperlink r:id="rId8" w:history="1">
        <w:r>
          <w:rPr>
            <w:color w:val="var(--word-link)"/>
          </w:rPr>
          <w:t xml:space="preserve">https://intermin.fi/-/valtioneuvosto-kannattaa-yhteista-eurooppalaista-palautusjarjestelmaa?languageId=en_US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2BA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supports-eu-idea-common-system-returns" TargetMode="External"/><Relationship Id="rId8" Type="http://schemas.openxmlformats.org/officeDocument/2006/relationships/hyperlink" Target="https://intermin.fi/-/valtioneuvosto-kannattaa-yhteista-eurooppalaista-palautusjarjestelmaa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2026-05-31T05:33:00+00:00</dcterms:created>
  <dcterms:modified xsi:type="dcterms:W3CDTF">2026-05-31T05:33:00+00:00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