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Amendments to family reunification will enter into force on 2 June zzzzzz</w:t>
        </w:r>
      </w:hyperlink>
    </w:p>
    <w:p>
      <w:pPr/>
      <w:r>
        <w:rPr/>
        <w:t xml:space="preserve">The Finnish Immigration Service announced changes to the provisions on family reunification: </w:t>
      </w:r>
    </w:p>
    <w:p>
      <w:pPr>
        <w:numPr>
          <w:ilvl w:val="0"/>
          <w:numId w:val="4"/>
        </w:numPr>
      </w:pPr>
      <w:r>
        <w:rPr/>
        <w:t xml:space="preserve">both spouses must have turned 21 before the residence permit becomes valid.This requirement does not concern sponsors who are Finnish citizens.</w:t>
      </w:r>
    </w:p>
    <w:p>
      <w:pPr>
        <w:numPr>
          <w:ilvl w:val="0"/>
          <w:numId w:val="4"/>
        </w:numPr>
      </w:pPr>
      <w:r>
        <w:rPr/>
        <w:t xml:space="preserve">If the spouses have children in their joint custody, a residence permit application as the child's parent or guardian can be submitted even though the parent is under 21 years of age.</w:t>
      </w:r>
    </w:p>
    <w:p>
      <w:pPr>
        <w:numPr>
          <w:ilvl w:val="0"/>
          <w:numId w:val="4"/>
        </w:numPr>
      </w:pPr>
      <w:r>
        <w:rPr/>
        <w:t xml:space="preserve">Family members of a minor, beneficiary of subsidiary protection or temporary protection, are required to have sufficient financial resources, with certain exceptions.</w:t>
      </w:r>
    </w:p>
    <w:p>
      <w:pPr>
        <w:numPr>
          <w:ilvl w:val="0"/>
          <w:numId w:val="4"/>
        </w:numPr>
      </w:pPr>
      <w:r>
        <w:rPr/>
        <w:t xml:space="preserve">Sufficient financial resources are also required of other relatives of a minor who has been granted international or temporary protection, with certain exceptions.</w:t>
      </w:r>
    </w:p>
    <w:p>
      <w:pPr>
        <w:numPr>
          <w:ilvl w:val="0"/>
          <w:numId w:val="4"/>
        </w:numPr>
      </w:pPr>
      <w:r>
        <w:rPr/>
        <w:t xml:space="preserve">Family reunification for beneficiaries of international protection requires two-year residence in Finland, with certain exceptions.</w:t>
      </w:r>
    </w:p>
    <w:p>
      <w:pPr>
        <w:numPr>
          <w:ilvl w:val="0"/>
          <w:numId w:val="4"/>
        </w:numPr>
      </w:pPr>
      <w:r>
        <w:rPr/>
        <w:t xml:space="preserve">The definition of when a child is considered a minor is adjusted to comply with the case-law of the Court of Justice of the European Union.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Finnish Immigration Service | Maahanmuuttovirasto (21 May, 2025), [Amendments to family reunification provisions will enter into force on June 2025],</w:t>
      </w:r>
      <w:hyperlink r:id="rId8" w:history="1">
        <w:r>
          <w:rPr>
            <w:color w:val="var(--word-link)"/>
          </w:rPr>
          <w:t xml:space="preserve">https://migri.fi/en/-/amendments-to-family-reunification-provisions-to-enter-into-force-in-xx-kuukausi-2025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21.05.2025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Finland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Content of protection, Family reunification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ECB38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8C24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finland/amendments-family-reunification-will-enter-force-2-june" TargetMode="External"/><Relationship Id="rId8" Type="http://schemas.openxmlformats.org/officeDocument/2006/relationships/hyperlink" Target="https://migri.fi/en/-/amendments-to-family-reunification-provisions-to-enter-into-force-in-xx-kuukausi-2025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2026-05-31T04:32:40+00:00</dcterms:created>
  <dcterms:modified xsi:type="dcterms:W3CDTF">2026-05-31T04:32:40+00:00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