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legal position: Syrian passports assessment</w:t>
        </w:r>
      </w:hyperlink>
    </w:p>
    <w:p>
      <w:pPr/>
      <w:r>
        <w:rPr/>
        <w:t xml:space="preserve">Review of legal position RS/064/2021 on the assessment of Syrian passports (version 3.0)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Agency, Lifos | Migrationsverket, Lifos (23 May, 2025), Bedömningen av syriska pass -RS/064/2021 (version 3.0) [The assessment of Syrian passports -RS/064/2021 (version 3.0)],</w:t>
      </w:r>
      <w:hyperlink r:id="rId8" w:history="1">
        <w:r>
          <w:rPr>
            <w:color w:val="0444c4"/>
            <w:u w:val="single"/>
          </w:rPr>
          <w:t xml:space="preserve">https://lifos.migrationsverket.se/dokument?documentSummaryId=49221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B79DC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new-legal-position-syrian-passports-assessment" TargetMode="External"/><Relationship Id="rId8" Type="http://schemas.openxmlformats.org/officeDocument/2006/relationships/hyperlink" Target="https://lifos.migrationsverket.se/dokument?documentSummaryId=49221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2026-09-14T22:22:17+00:00</dcterms:created>
  <dcterms:modified xsi:type="dcterms:W3CDTF">2026-09-14T22:22:17+00:00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