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Malta</w:t>
      </w:r>
    </w:p>
    <w:p>
      <w:pPr>
        <w:pStyle w:val="Heading2"/>
      </w:pPr>
      <w:r>
        <w:rPr/>
        <w:t xml:space="preserve">Second instance determination - Malta</w:t>
      </w:r>
    </w:p>
    <w:p>
      <w:pPr>
        <w:numPr>
          <w:ilvl w:val="0"/>
          <w:numId w:val="4"/>
        </w:numPr>
      </w:pPr>
      <w:hyperlink w:anchor="section-832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Malta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Malta, please refer to </w:t>
      </w:r>
      <w:hyperlink r:id="rId8" w:history="1">
        <w:r>
          <w:rPr>
            <w:color w:val="0444c4"/>
            <w:u w:val="single"/>
          </w:rPr>
          <w:t xml:space="preserve">Second Instance Determination - Malta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p>
    <w:pPr>
      <w:spacing w:before="0" w:after="0"/>
    </w:pPr>
    <w:r>
      <w:rPr>
        <w:sz w:val="16"/>
        <w:szCs w:val="16"/>
      </w:rPr>
      <w:t xml:space="preserve">Second instance determination - Malta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8E8240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832" TargetMode="External"/><Relationship Id="rId8" Type="http://schemas.openxmlformats.org/officeDocument/2006/relationships/hyperlink" Target="https://caselaw.euaa.europa.eu/Pages/asylum-appeals-systems.aspx?country=Malta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2026-10-15T02:42:06+00:00</dcterms:created>
  <dcterms:modified xsi:type="dcterms:W3CDTF">2026-10-15T02:42:06+00:00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