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UNHCR launched the RiMAP pilot, which covers only Croatia among EU countries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UNHCR rolled out the Rights Mapping and Analysis Platform (RiMAP), a digital Platform designed to provide information about laws and policies relating to the rights for refugees, asylum-seekers, internally displaced and stateless persons. Two current features of RiMAP are the Refugee Treaty and Legislation Dashboard (RTLD) and the IDP Law and Policy Dashboard. Work on a Statelessness Law and Policy Dashboard is underway.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United Nations High Commissioner for Refugees (10 June, 2025), [Rights Mapping and Analysis Platform],</w:t>
      </w:r>
      <w:hyperlink r:id="rId9" w:history="1">
        <w:r>
          <w:rPr>
            <w:color w:val="0444c4"/>
            <w:u w:val="single"/>
          </w:rPr>
          <w:t xml:space="preserve">https://rimap.unhcr.org/user/login?destination=/countries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Information provision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30DE4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unhcr-launched-rimap-pilot-which-covers-only-croatia-among-eu-countri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rimap.unhcr.org/user/login?destination=/countrie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2026-10-30T04:40:00+00:00</dcterms:created>
  <dcterms:modified xsi:type="dcterms:W3CDTF">2026-10-30T04:40:00+00:00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