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launched the RiMAP pilot, which covers only Croatia among EU countries zzzzzz</w:t>
        </w:r>
      </w:hyperlink>
    </w:p>
    <w:p>
      <w:pPr/>
      <w:r>
        <w:rPr/>
        <w:t xml:space="preserve">UNHCR rolled out the Rights Mapping and Analysis Platform (RiMAP), a digital Platform designed to provide information about laws and policies relating to the rights for refugees, asylum-seekers, internally displaced and stateless persons. Two current features of RiMAP are the Refugee Treaty and Legislation Dashboard (RTLD) and the IDP Law and Policy Dashboard. Work on a Statelessness Law and Policy Dashboard is underway.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United Nations High Commissioner for Refugees (10 June, 2025), [Rights Mapping and Analysis Platform],</w:t>
      </w:r>
      <w:hyperlink r:id="rId8" w:history="1">
        <w:r>
          <w:rPr>
            <w:color w:val="var(--word-link)"/>
          </w:rPr>
          <w:t xml:space="preserve">https://rimap.unhcr.org/user/login?destination=/countries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Information provision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F7EA2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unhcr-launched-rimap-pilot-which-covers-only-croatia-among-eu-countries" TargetMode="External"/><Relationship Id="rId8" Type="http://schemas.openxmlformats.org/officeDocument/2006/relationships/hyperlink" Target="https://rimap.unhcr.org/user/login?destination=/countrie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2026-05-31T05:32:55+00:00</dcterms:created>
  <dcterms:modified xsi:type="dcterms:W3CDTF">2026-05-31T05:32:55+00:00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