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Switzerland launched a taskforce to address repeat offenders among asylum seekers and migrants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Swiss Confederation and cantons announced the creation of a pilot taskforce to address repeat offenders among asylum seekers and foreign nationals. The initiative, led by the Conference of Cantonal Justice and Police Directors and approved by the federal-canton-city asylum committee, will run for one year starting June 2025.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taskforce will prioritize cases of repeat offenders and ensure that all available coercive measures, including administrative detention, are applied effectively.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Cases will be managed through a centralised case management system to optimize coordination between migration authorities and federal/cantonal law enforcement.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Lessons learned will feed into a national action plan to be presented in 2026 during an asylum conference involving all three levels of government.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A parallel working group is reviewing legal frameworks to facilitate detention and expulsion of repeat offenders in the asylum and migration context.</w:t>
      </w:r>
    </w:p>
    <w:p>
      <w:pPr>
        <w:jc w:val="start"/>
        <w:ind w:left="0" w:right="0" w:firstLine="0" w:hanging="0"/>
        <w:spacing w:before="0" w:after="0" w:line="312" w:lineRule="auto"/>
      </w:pPr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The taskforce complements existing regional roundtables that coordinate actions against criminal offenders from the asylum and migration sectors.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(4 April, 2025), Lutte contre les étrangers multirécidivistes : la Confédération et les cantons instituent une taskforce et se penchent sur les mesures de contrainte [Combating repeat offenders: the Confederation and the cantons set up a task force and look into coercive measures],</w:t>
      </w:r>
      <w:hyperlink r:id="rId9" w:history="1">
        <w:r>
          <w:rPr>
            <w:color w:val="0444c4"/>
            <w:u w:val="single"/>
          </w:rPr>
          <w:t xml:space="preserve">https://www.news.admin.ch/fr/nsb?id=104761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955E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switzerland-launched-taskforce-address-repeat-offenders-among-asyl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sb?id=10476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2026-10-30T05:43:06+00:00</dcterms:created>
  <dcterms:modified xsi:type="dcterms:W3CDTF">2026-10-30T05:43:06+00:00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