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Ministry of the Interior publishes updated statistics on international protection April/June 2025</w:t>
        </w:r>
      </w:hyperlink>
    </w:p>
    <w:p>
      <w:pPr/>
      <w:r>
        <w:rPr/>
        <w:t xml:space="preserve">The Ministry of the Interior reported updated statistics on international protection from the period 1 April 2025 to 20 June 2025.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Ministarstvo unutarnjih poslova (30 June, 2025), Statistika: Tražitelji međunarodne zaštite [ Statistics: Applicants for international protection],</w:t>
      </w:r>
      <w:hyperlink r:id="rId8" w:history="1">
        <w:r>
          <w:rPr>
            <w:color w:val="0444c4"/>
            <w:u w:val="single"/>
          </w:rPr>
          <w:t xml:space="preserve">https://mup.gov.hr/pristup-informacijama-16/statistika-228/statistika-trazitelji-medjunarodne-zastite/283234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14071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ministry-interior-publishes-updated-statistics-international-protection-0" TargetMode="External"/><Relationship Id="rId8" Type="http://schemas.openxmlformats.org/officeDocument/2006/relationships/hyperlink" Target="https://mup.gov.hr/pristup-informacijama-16/statistika-228/statistika-trazitelji-medjunarodne-zastite/283234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2026-10-30T04:39:41+00:00</dcterms:created>
  <dcterms:modified xsi:type="dcterms:W3CDTF">2026-10-30T04:39:41+00:00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