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Aditus publishes its annual report for 2024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Aditus has published its Annual Report 2024, which includes a review of the 2022-2024 Strategic Plan of the civil society organisation.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aditus foundation (26 August, 2025), [Three years in review: aditus’ 2022-2024 Strategic Plan],</w:t>
      </w:r>
      <w:hyperlink r:id="rId9" w:history="1">
        <w:r>
          <w:rPr>
            <w:color w:val="var(--word-link)"/>
          </w:rPr>
          <w:t xml:space="preserve">https://aditus.org.mt/aditus-2022-2024-strategic-plan/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26.08.2025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Malta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FB9BF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malta/aditus-publishes-its-annual-report-2024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ditus.org.mt/aditus-2022-2024-strategic-plan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2026-07-07T05:10:57+00:00</dcterms:created>
  <dcterms:modified xsi:type="dcterms:W3CDTF">2026-07-07T05:10:57+00:00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