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publishes its annual report for 2024</w:t>
        </w:r>
      </w:hyperlink>
    </w:p>
    <w:p>
      <w:pPr/>
      <w:r>
        <w:rPr/>
        <w:t xml:space="preserve">Aditus has published its Annual Report 2024, which includes a review of the 2022-2024 Strategic Plan of the civil society organisation.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(26 August, 2025), [Three years in review: aditus’ 2022-2024 Strategic Plan],</w:t>
      </w:r>
      <w:hyperlink r:id="rId8" w:history="1">
        <w:r>
          <w:rPr>
            <w:color w:val="0444c4"/>
            <w:u w:val="single"/>
          </w:rPr>
          <w:t xml:space="preserve">https://aditus.org.mt/aditus-2022-2024-strategic-plan/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F6B22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publishes-its-annual-report-2024" TargetMode="External"/><Relationship Id="rId8" Type="http://schemas.openxmlformats.org/officeDocument/2006/relationships/hyperlink" Target="https://aditus.org.mt/aditus-2022-2024-strategic-plan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2026-08-26T13:50:18+00:00</dcterms:created>
  <dcterms:modified xsi:type="dcterms:W3CDTF">2026-08-26T13:50:18+00:00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