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Slovenia</w:t>
      </w:r>
    </w:p>
    <w:p>
      <w:pPr>
        <w:pStyle w:val="Heading2"/>
      </w:pPr>
      <w:r>
        <w:rPr/>
        <w:t xml:space="preserve">Resettlement and humanitarian admission - Slovenia</w:t>
      </w:r>
    </w:p>
    <w:p>
      <w:pPr>
        <w:numPr>
          <w:ilvl w:val="0"/>
          <w:numId w:val="4"/>
        </w:numPr>
      </w:pPr>
      <w:hyperlink w:anchor="section-5260" w:history="1">
        <w:r>
          <w:rPr>
            <w:color w:val="var(--word-link)"/>
          </w:rPr>
          <w:t xml:space="preserve">Overview</w:t>
        </w:r>
      </w:hyperlink>
    </w:p>
    <w:p>
      <w:pPr>
        <w:numPr>
          <w:ilvl w:val="0"/>
          <w:numId w:val="4"/>
        </w:numPr>
      </w:pPr>
      <w:hyperlink w:anchor="section-5261" w:history="1">
        <w:r>
          <w:rPr>
            <w:color w:val="var(--word-link)"/>
          </w:rPr>
          <w:t xml:space="preserve">Relevant EU legislation</w:t>
        </w:r>
      </w:hyperlink>
    </w:p>
    <w:p>
      <w:pPr>
        <w:numPr>
          <w:ilvl w:val="0"/>
          <w:numId w:val="4"/>
        </w:numPr>
      </w:pPr>
      <w:hyperlink w:anchor="section-5262" w:history="1">
        <w:r>
          <w:rPr>
            <w:color w:val="var(--word-link)"/>
          </w:rPr>
          <w:t xml:space="preserve">National legislation</w:t>
        </w:r>
      </w:hyperlink>
    </w:p>
    <w:p>
      <w:pPr>
        <w:numPr>
          <w:ilvl w:val="0"/>
          <w:numId w:val="4"/>
        </w:numPr>
      </w:pPr>
      <w:hyperlink w:anchor="section-5263" w:history="1">
        <w:r>
          <w:rPr>
            <w:color w:val="var(--word-link)"/>
          </w:rPr>
          <w:t xml:space="preserve">Competent authority and stakeholders</w:t>
        </w:r>
      </w:hyperlink>
    </w:p>
    <w:p>
      <w:pPr>
        <w:numPr>
          <w:ilvl w:val="0"/>
          <w:numId w:val="4"/>
        </w:numPr>
      </w:pPr>
      <w:hyperlink w:anchor="section-5265" w:history="1">
        <w:r>
          <w:rPr>
            <w:color w:val="var(--word-link)"/>
          </w:rPr>
          <w:t xml:space="preserve">Programmes currently in place</w:t>
        </w:r>
      </w:hyperlink>
    </w:p>
    <w:p>
      <w:pPr>
        <w:numPr>
          <w:ilvl w:val="0"/>
          <w:numId w:val="4"/>
        </w:numPr>
      </w:pPr>
      <w:hyperlink w:anchor="section-5266" w:history="1">
        <w:r>
          <w:rPr>
            <w:color w:val="var(--word-link)"/>
          </w:rPr>
          <w:t xml:space="preserve">National quotas on resettlement and humanitarian admission</w:t>
        </w:r>
      </w:hyperlink>
    </w:p>
    <w:p>
      <w:pPr>
        <w:numPr>
          <w:ilvl w:val="0"/>
          <w:numId w:val="4"/>
        </w:numPr>
      </w:pPr>
      <w:hyperlink w:anchor="section-5268" w:history="1">
        <w:r>
          <w:rPr>
            <w:color w:val="var(--word-link)"/>
          </w:rPr>
          <w:t xml:space="preserve">National commitments for resettlement, humanitarian admission and emergency quota</w:t>
        </w:r>
      </w:hyperlink>
    </w:p>
    <w:p>
      <w:pPr>
        <w:numPr>
          <w:ilvl w:val="0"/>
          <w:numId w:val="4"/>
        </w:numPr>
      </w:pPr>
      <w:hyperlink w:anchor="section-5269" w:history="1">
        <w:r>
          <w:rPr>
            <w:color w:val="var(--word-link)"/>
          </w:rPr>
          <w:t xml:space="preserve">Procedural and practical arrangements</w:t>
        </w:r>
      </w:hyperlink>
    </w:p>
    <w:p>
      <w:pPr>
        <w:numPr>
          <w:ilvl w:val="0"/>
          <w:numId w:val="4"/>
        </w:numPr>
      </w:pPr>
      <w:hyperlink w:anchor="section-5271" w:history="1">
        <w:r>
          <w:rPr>
            <w:color w:val="var(--word-link)"/>
          </w:rPr>
          <w:t xml:space="preserve">The admission procedure</w:t>
        </w:r>
      </w:hyperlink>
    </w:p>
    <w:p>
      <w:pPr>
        <w:numPr>
          <w:ilvl w:val="0"/>
          <w:numId w:val="4"/>
        </w:numPr>
      </w:pPr>
      <w:hyperlink w:anchor="section-5274" w:history="1">
        <w:r>
          <w:rPr>
            <w:color w:val="var(--word-link)"/>
          </w:rPr>
          <w:t xml:space="preserve">Type of protection granted and residence permit issued after the admission procedure</w:t>
        </w:r>
      </w:hyperlink>
    </w:p>
    <w:p>
      <w:pPr>
        <w:numPr>
          <w:ilvl w:val="0"/>
          <w:numId w:val="4"/>
        </w:numPr>
      </w:pPr>
      <w:hyperlink w:anchor="section-5275" w:history="1">
        <w:r>
          <w:rPr>
            <w:color w:val="var(--word-link)"/>
          </w:rPr>
          <w:t xml:space="preserve">Pre-departure assistance</w:t>
        </w:r>
      </w:hyperlink>
    </w:p>
    <w:p>
      <w:pPr>
        <w:numPr>
          <w:ilvl w:val="0"/>
          <w:numId w:val="4"/>
        </w:numPr>
      </w:pPr>
      <w:hyperlink w:anchor="section-5276" w:history="1">
        <w:r>
          <w:rPr>
            <w:color w:val="var(--word-link)"/>
          </w:rPr>
          <w:t xml:space="preserve">Travel arrangements</w:t>
        </w:r>
      </w:hyperlink>
    </w:p>
    <w:p>
      <w:pPr>
        <w:numPr>
          <w:ilvl w:val="0"/>
          <w:numId w:val="4"/>
        </w:numPr>
      </w:pPr>
      <w:hyperlink w:anchor="section-5277" w:history="1">
        <w:r>
          <w:rPr>
            <w:color w:val="var(--word-link)"/>
          </w:rPr>
          <w:t xml:space="preserve">Arrival and reception</w:t>
        </w:r>
      </w:hyperlink>
    </w:p>
    <w:p>
      <w:pPr>
        <w:numPr>
          <w:ilvl w:val="0"/>
          <w:numId w:val="4"/>
        </w:numPr>
      </w:pPr>
      <w:hyperlink w:anchor="section-5278" w:history="1">
        <w:r>
          <w:rPr>
            <w:color w:val="var(--word-link)"/>
          </w:rPr>
          <w:t xml:space="preserve">Integration support to resettled and admitted refugees</w:t>
        </w:r>
      </w:hyperlink>
    </w:p>
    <w:p>
      <w:pPr>
        <w:numPr>
          <w:ilvl w:val="0"/>
          <w:numId w:val="4"/>
        </w:numPr>
      </w:pPr>
      <w:hyperlink w:anchor="section-5280" w:history="1">
        <w:r>
          <w:rPr>
            <w:color w:val="var(--word-link)"/>
          </w:rPr>
          <w:t xml:space="preserve">Resettlement programmes</w:t>
        </w:r>
      </w:hyperlink>
    </w:p>
    <w:p>
      <w:pPr>
        <w:numPr>
          <w:ilvl w:val="0"/>
          <w:numId w:val="4"/>
        </w:numPr>
      </w:pPr>
      <w:hyperlink w:anchor="section-5282" w:history="1">
        <w:r>
          <w:rPr>
            <w:color w:val="var(--word-link)"/>
          </w:rPr>
          <w:t xml:space="preserve">Humanitarian admission programmes</w:t>
        </w:r>
      </w:hyperlink>
    </w:p>
    <w:p>
      <w:pPr>
        <w:numPr>
          <w:ilvl w:val="0"/>
          <w:numId w:val="4"/>
        </w:numPr>
      </w:pPr>
      <w:hyperlink w:anchor="section-5285" w:history="1">
        <w:r>
          <w:rPr>
            <w:color w:val="var(--word-link)"/>
          </w:rPr>
          <w:t xml:space="preserve">Complementary pathways</w:t>
        </w:r>
      </w:hyperlink>
    </w:p>
    <w:p>
      <w:pPr>
        <w:numPr>
          <w:ilvl w:val="0"/>
          <w:numId w:val="4"/>
        </w:numPr>
      </w:pPr>
      <w:hyperlink w:anchor="section-5286" w:history="1">
        <w:r>
          <w:rPr>
            <w:color w:val="var(--word-link)"/>
          </w:rPr>
          <w:t xml:space="preserve">Community sponsorship schemes related to state-led resettlement programmes</w:t>
        </w:r>
      </w:hyperlink>
    </w:p>
    <w:p>
      <w:pPr>
        <w:numPr>
          <w:ilvl w:val="0"/>
          <w:numId w:val="4"/>
        </w:numPr>
      </w:pPr>
      <w:hyperlink w:anchor="section-5288" w:history="1">
        <w:r>
          <w:rPr>
            <w:color w:val="var(--word-link)"/>
          </w:rPr>
          <w:t xml:space="preserve">Community sponsorship schemes linked to civil society-led humanitarian admission programmes</w:t>
        </w:r>
      </w:hyperlink>
    </w:p>
    <w:p>
      <w:pPr>
        <w:numPr>
          <w:ilvl w:val="0"/>
          <w:numId w:val="4"/>
        </w:numPr>
      </w:pPr>
      <w:hyperlink w:anchor="section-5290" w:history="1">
        <w:r>
          <w:rPr>
            <w:color w:val="var(--word-link)"/>
          </w:rPr>
          <w:t xml:space="preserve">Community sponsorship schemes linked to other complementary pathways</w:t>
        </w:r>
      </w:hyperlink>
    </w:p>
    <w:p>
      <w:pPr>
        <w:pStyle w:val="Heading1"/>
      </w:pPr>
      <w:r>
        <w:rPr/>
        <w:t xml:space="preserve">Resettlement and humanitarian admission - Slovenia</w:t>
      </w:r>
    </w:p>
    <w:p>
      <w:pPr>
        <w:pStyle w:val="Heading2"/>
      </w:pPr>
      <w:r>
        <w:rPr/>
        <w:t xml:space="preserve">Overview</w:t>
      </w:r>
    </w:p>
    <w:p>
      <w:pPr>
        <w:pStyle w:val="Heading2"/>
      </w:pPr>
      <w:r>
        <w:rPr/>
        <w:t xml:space="preserve">Relevant EU legislation</w:t>
      </w:r>
    </w:p>
    <w:p>
      <w:pPr/>
      <w:r>
        <w:rPr/>
        <w:t xml:space="preserve">Slovenia is bound by the Union Resettlement and Humanitarian Admission Framework Regulation (URF)</w:t>
      </w:r>
    </w:p>
    <w:p>
      <w:pPr>
        <w:pStyle w:val="Heading2"/>
      </w:pPr>
      <w:r>
        <w:rPr/>
        <w:t xml:space="preserve">National legislation</w:t>
      </w:r>
    </w:p>
    <w:p>
      <w:pPr/>
      <w:r>
        <w:rPr/>
        <w:t xml:space="preserve">04/03/2026: International Protection Act | </w:t>
      </w:r>
      <w:hyperlink r:id="rId27" w:history="1">
        <w:r>
          <w:rPr>
            <w:color w:val="var(--word-link)"/>
          </w:rPr>
          <w:t xml:space="preserve">Zakon o mednarodni zaščiti (ZMZ-1)</w:t>
        </w:r>
      </w:hyperlink>
    </w:p>
    <w:p>
      <w:pPr/>
      <w:r>
        <w:rPr/>
        <w:t xml:space="preserve">25/07/2017: Regulation on the method of implementing the resettlement of persons admitted to the Republic of Slovenia on the basis of a quota and burden-sharing between the Member States of the European Union | </w:t>
      </w:r>
      <w:hyperlink r:id="rId28" w:history="1">
        <w:r>
          <w:rPr>
            <w:color w:val="var(--word-link)"/>
          </w:rPr>
          <w:t xml:space="preserve">Uredba o načinu izvedbe preselitve oseb, ki so v Republiko Slovenijo sprejete na podlagi kvote in delitve bremen med državami članicami Evropske unije</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hyperlink r:id="rId29" w:history="1">
              <w:r>
                <w:rPr>
                  <w:color w:val="var(--word-link)"/>
                </w:rPr>
                <w:t xml:space="preserve">Government of Slovenia | GOV.SI</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30" w:history="1">
              <w:r>
                <w:rPr>
                  <w:color w:val="var(--word-link)"/>
                </w:rPr>
                <w:t xml:space="preserve">The United Nations High Commissioner for Refugees</w:t>
              </w:r>
            </w:hyperlink>
            <w:r>
              <w:rPr/>
              <w:t xml:space="preserve"> (UNHCR)</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Ministry of the Interior | </w:t>
            </w:r>
            <w:hyperlink r:id="rId31" w:history="1">
              <w:r>
                <w:rPr>
                  <w:color w:val="var(--word-link)"/>
                </w:rPr>
                <w:t xml:space="preserve">Ministrstvo za notranje zadeve</w:t>
              </w:r>
            </w:hyperlink>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Government Office for the Support and Integration of Migrants | </w:t>
            </w:r>
            <w:hyperlink r:id="rId32" w:history="1">
              <w:r>
                <w:rPr>
                  <w:color w:val="var(--word-link)"/>
                </w:rPr>
                <w:t xml:space="preserve">Urad Vlade Republike Slovenije za oskrbo in integracijo migrantov</w:t>
              </w:r>
            </w:hyperlink>
            <w:r>
              <w:rPr/>
              <w:t xml:space="preserve"> (UOIM)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hyperlink r:id="rId33" w:history="1">
              <w:r>
                <w:rPr>
                  <w:color w:val="var(--word-link)"/>
                </w:rPr>
                <w:t xml:space="preserve">International Organisation for Migration</w:t>
              </w:r>
            </w:hyperlink>
            <w:r>
              <w:rPr/>
              <w:t xml:space="preserve"> (IOM)</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Government Office for the Support and Integration of Migrants |  </w:t>
            </w:r>
            <w:hyperlink r:id="rId32" w:history="1">
              <w:r>
                <w:rPr>
                  <w:color w:val="var(--word-link)"/>
                </w:rPr>
                <w:t xml:space="preserve">Urad Vlade Republike Slovenije za oskrbo in integracijo migrantov</w:t>
              </w:r>
            </w:hyperlink>
            <w:r>
              <w:rPr/>
              <w:t xml:space="preserve"> (UOIM) </w:t>
            </w:r>
          </w:p>
          <w:p>
            <w:pPr/>
            <w:r>
              <w:rPr/>
              <w:t xml:space="preserve">Ministry of the Interior | </w:t>
            </w:r>
            <w:hyperlink r:id="rId31" w:history="1">
              <w:r>
                <w:rPr>
                  <w:color w:val="var(--word-link)"/>
                </w:rPr>
                <w:t xml:space="preserve">Ministrstvo za notranje zadeve</w:t>
              </w:r>
            </w:hyperlink>
          </w:p>
        </w:tc>
      </w:tr>
    </w:tbl>
    <w:p>
      <w:pPr>
        <w:pStyle w:val="Heading2"/>
      </w:pPr>
      <w:r>
        <w:rPr/>
        <w:t xml:space="preserve">Programmes currently in place</w:t>
      </w:r>
    </w:p>
    <w:p>
      <w:pPr/>
      <w:r>
        <w:rPr/>
        <w:t xml:space="preserve">Slovenia is not implementing resettlement or humanitarian admission programmes at the moment.</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0</w:t>
            </w:r>
          </w:p>
        </w:tc>
        <w:tc>
          <w:tcPr>
            <w:tcW w:w="2268" w:type="dxa"/>
            <w:noWrap/>
          </w:tcPr>
          <w:p>
            <w:pPr/>
            <w:r>
              <w:rPr/>
              <w:t xml:space="preserve">0</w:t>
            </w:r>
          </w:p>
        </w:tc>
        <w:tc>
          <w:tcPr>
            <w:tcW w:w="2268" w:type="dxa"/>
            <w:noWrap/>
          </w:tcPr>
          <w:p>
            <w:pPr/>
            <w:r>
              <w:rPr/>
              <w:t xml:space="preserve">0</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r>
        <w:rPr/>
        <w:t xml:space="preserve"> </w:t>
      </w:r>
    </w:p>
    <w:p>
      <w:pPr>
        <w:pStyle w:val="Heading2"/>
      </w:pPr>
      <w:r>
        <w:rPr/>
        <w:t xml:space="preserve">Procedural and practical arrangements</w:t>
      </w:r>
    </w:p>
    <w:p>
      <w:pPr>
        <w:pStyle w:val="Heading2"/>
      </w:pPr>
      <w:r>
        <w:rPr/>
        <w:t xml:space="preserve">The admission procedure</w:t>
      </w:r>
    </w:p>
    <w:p>
      <w:pPr/>
      <w:r>
        <w:rPr/>
        <w:t xml:space="preserve">The International Protection Act and the Regulation on the method of implementation the resettlement of persons contain also provisions on the decision-making procedure.</w:t>
      </w:r>
    </w:p>
    <w:p>
      <w:pPr/>
      <w:r>
        <w:rPr/>
        <w:t xml:space="preserve">According to Article 75 of the IPA, the competent authority shall take into account the report prepared for each individual by an official from the competent authority or the High Commissioner or other international organisation in the country where the individual is present and where they are safe from persecution, but the living conditions are inappropriate for their integration into society. The report shall include an opinion on the requirements for the integration in the above-mentioned country and an opinion on the fulfilment of the conditions to be granted refugee status pursuant to the IPA. According to Article 5 of the Regulation, if the Ministry of Interior identifies the conditions for granting international protection, the person in question is granted an international protection after the arrival to the Republic of Slovenia. </w:t>
      </w:r>
    </w:p>
    <w:p>
      <w:pPr/>
      <w:r>
        <w:rPr/>
        <w:t xml:space="preserve">Timeframe is 6 months.</w:t>
      </w:r>
    </w:p>
    <w:p>
      <w:pPr>
        <w:pStyle w:val="Heading2"/>
      </w:pPr>
      <w:r>
        <w:rPr/>
        <w:t xml:space="preserve">Type of protection granted and residence permit issued after the admission procedure</w:t>
      </w:r>
    </w:p>
    <w:p>
      <w:pPr/>
      <w:r>
        <w:rPr/>
        <w:t xml:space="preserve">The type of status granted (and rights attached) are regulated by Article 74 of the IPA and Article 10 of the Regulation. The persons shall be granted refugee status if they fulfil the conditions to be granted refugee status and they are present in a country where they are safe from persecution, but where the living conditions are inappropriate for their integration into society. Resettled persons are granted a ramp-up period of three months starting from the day of notification of the decision on international protection. During this period an orientation programme takes place (language learning, help with documentations and practical aspects of everyday life in Republic of Slovenia). The resettled persons are also entitled to accommodation in an integration house or in other accommodation facilities of the Ministry of Interior and self-governing local communities.  </w:t>
      </w:r>
    </w:p>
    <w:p>
      <w:pPr>
        <w:pStyle w:val="Heading2"/>
      </w:pPr>
      <w:r>
        <w:rPr/>
        <w:t xml:space="preserve">Pre-departure assistance</w:t>
      </w:r>
    </w:p>
    <w:p>
      <w:pPr/>
      <w:r>
        <w:rPr/>
        <w:t xml:space="preserve">Pre-departure assistance is regulated in Article 6 of the </w:t>
      </w:r>
      <w:hyperlink r:id="rId28" w:history="1">
        <w:r>
          <w:rPr>
            <w:color w:val="var(--word-link)"/>
          </w:rPr>
          <w:t xml:space="preserve">Regulation on the procedure for the resettlement of persons admitted to the Republic of Slovenia on the basis of quotas and burden sharing among European Union Member States</w:t>
        </w:r>
      </w:hyperlink>
      <w:r>
        <w:rPr/>
        <w:t xml:space="preserve">:</w:t>
      </w:r>
    </w:p>
    <w:p>
      <w:pPr>
        <w:numPr>
          <w:ilvl w:val="0"/>
          <w:numId w:val="5"/>
        </w:numPr>
      </w:pPr>
      <w:r>
        <w:rPr/>
        <w:t xml:space="preserve">An interpreter for a language understood by the persons shall participate in the implementation of the orientation program referred to in the first paragraph of Article 104 of the Act. The costs of interpretation shall be covered by the Office.</w:t>
      </w:r>
    </w:p>
    <w:p>
      <w:pPr>
        <w:numPr>
          <w:ilvl w:val="0"/>
          <w:numId w:val="5"/>
        </w:numPr>
      </w:pPr>
      <w:r>
        <w:rPr/>
        <w:t xml:space="preserve">The information provided as part of the orientation program referred to in the previous paragraph shall include information on the rights and obligations of persons granted international protection and general information on the Republic of Slovenia and the way of life in it, which also includes information on cultural characteristics and customs in the Republic of Slovenia and information on gender equality and the prohibition of polygamy.</w:t>
      </w:r>
    </w:p>
    <w:p>
      <w:pPr>
        <w:pStyle w:val="Heading2"/>
      </w:pPr>
      <w:r>
        <w:rPr/>
        <w:t xml:space="preserve">Travel arrangements</w:t>
      </w:r>
    </w:p>
    <w:p>
      <w:pPr/>
      <w:r>
        <w:rPr/>
        <w:t xml:space="preserve">Travel arrangements are regulated in Article 8 and 9 of the </w:t>
      </w:r>
      <w:hyperlink r:id="rId28" w:history="1">
        <w:r>
          <w:rPr>
            <w:color w:val="var(--word-link)"/>
          </w:rPr>
          <w:t xml:space="preserve">Regulation on the procedure for the resettlement of persons admitted to the Republic of Slovenia on the basis of quotas and burden sharing among European Union Member States</w:t>
        </w:r>
      </w:hyperlink>
      <w:r>
        <w:rPr/>
        <w:t xml:space="preserve">:</w:t>
      </w:r>
    </w:p>
    <w:p>
      <w:pPr/>
      <w:r>
        <w:rPr/>
        <w:t xml:space="preserve">Article 8:</w:t>
      </w:r>
    </w:p>
    <w:p>
      <w:pPr>
        <w:numPr>
          <w:ilvl w:val="0"/>
          <w:numId w:val="6"/>
        </w:numPr>
      </w:pPr>
      <w:r>
        <w:rPr>
          <w:i w:val="1"/>
          <w:iCs w:val="1"/>
        </w:rPr>
        <w:t xml:space="preserve">The arrival of persons referred to in Article 73 of the Act in the Republic of Slovenia shall be organized by the Ministry in cooperation with the Ministry responsible for foreign affairs, the Office, and the Police. If necessary, these persons shall be issued with a travel document in accordance with the law governing the entry, departure, and residence of foreigners in the Republic of Slovenia prior to their arrival in the Republic of Slovenia.</w:t>
      </w:r>
    </w:p>
    <w:p>
      <w:pPr>
        <w:numPr>
          <w:ilvl w:val="0"/>
          <w:numId w:val="6"/>
        </w:numPr>
      </w:pPr>
      <w:r>
        <w:rPr>
          <w:i w:val="1"/>
          <w:iCs w:val="1"/>
        </w:rPr>
        <w:t xml:space="preserve">The arrival of persons referred to in Article 77 of the Act in the Republic of Slovenia shall be organized by the Ministry in cooperation with the Office.</w:t>
      </w:r>
    </w:p>
    <w:p>
      <w:pPr/>
      <w:r>
        <w:rPr/>
        <w:t xml:space="preserve">Article 9:</w:t>
      </w:r>
    </w:p>
    <w:p>
      <w:pPr>
        <w:numPr>
          <w:ilvl w:val="0"/>
          <w:numId w:val="7"/>
        </w:numPr>
      </w:pPr>
      <w:r>
        <w:rPr>
          <w:i w:val="1"/>
          <w:iCs w:val="1"/>
        </w:rPr>
        <w:t xml:space="preserve">The medical examination referred to in the second paragraph of Article 76 of the Act shall include at least a general physical examination by a doctor to identify any specific medical conditions with a view to preventing the spread of infectious diseases and to assess the person's fitness to travel.</w:t>
      </w:r>
    </w:p>
    <w:p>
      <w:pPr>
        <w:pStyle w:val="Heading2"/>
      </w:pPr>
      <w:r>
        <w:rPr/>
        <w:t xml:space="preserve">Arrival and reception</w:t>
      </w:r>
    </w:p>
    <w:p>
      <w:pPr/>
      <w:r>
        <w:rPr/>
        <w:t xml:space="preserve">Persons eligible for resettlement apply for international protection before their arrival in the territory of the third country where the person currently resides (Article 4 of the Regulation on the procedure for the resettlement of persons admitted to the Republic of Slovenia on the basis of quotas and burden sharing among European Union Member States).</w:t>
      </w:r>
    </w:p>
    <w:p>
      <w:pPr/>
      <w:r>
        <w:rPr/>
        <w:t xml:space="preserve">Once they are in Slovenia, they are entitled to the same rights (and obligations) as other persons with refugee status.</w:t>
      </w:r>
    </w:p>
    <w:p>
      <w:pPr>
        <w:pStyle w:val="Heading2"/>
      </w:pPr>
      <w:r>
        <w:rPr/>
        <w:t xml:space="preserve">Integration support to resettled and admitted refugees</w:t>
      </w:r>
    </w:p>
    <w:p>
      <w:pPr/>
      <w:r>
        <w:rPr/>
        <w:t xml:space="preserve">There are no specific measures for such persons, the same provisions apply as for persons who were granted a refugee status in a regular asylum procedure in Slovenia.</w:t>
      </w:r>
    </w:p>
    <w:p>
      <w:pPr>
        <w:pStyle w:val="Heading2"/>
      </w:pPr>
      <w:r>
        <w:rPr/>
        <w:t xml:space="preserve">Resettlement programmes</w:t>
      </w:r>
    </w:p>
    <w:p>
      <w:pPr/>
      <w:r>
        <w:rPr/>
        <w:t xml:space="preserve">Currently, Slovenia is not implementing resettlement programmes.</w:t>
      </w:r>
    </w:p>
    <w:p>
      <w:pPr>
        <w:pStyle w:val="Heading2"/>
      </w:pPr>
      <w:r>
        <w:rPr/>
        <w:t xml:space="preserve">Humanitarian admission programmes</w:t>
      </w:r>
    </w:p>
    <w:p>
      <w:pPr/>
      <w:r>
        <w:rPr/>
        <w:t xml:space="preserve">Currently, Slovenia is not implementing humanitarian admission programmes.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Slovenia is not implementing community sponsorship programmes.</w:t>
      </w:r>
    </w:p>
    <w:p>
      <w:pPr>
        <w:pStyle w:val="Heading2"/>
      </w:pPr>
      <w:r>
        <w:rPr/>
        <w:t xml:space="preserve">Community sponsorship schemes linked to civil society-led humanitarian admission programmes</w:t>
      </w:r>
    </w:p>
    <w:p>
      <w:pPr/>
      <w:r>
        <w:rPr/>
        <w:t xml:space="preserve">Currently, Slovenia is not implementing community sponsorship programmes.</w:t>
      </w:r>
    </w:p>
    <w:p>
      <w:pPr>
        <w:pStyle w:val="Heading2"/>
      </w:pPr>
      <w:r>
        <w:rPr/>
        <w:t xml:space="preserve">Community sponsorship schemes linked to other complementary pathways</w:t>
      </w:r>
    </w:p>
    <w:p>
      <w:pPr/>
      <w:r>
        <w:rPr/>
        <w:t xml:space="preserve">Currently, Slovenia is not implementing community sponsorship programmes.</w:t>
      </w:r>
    </w:p>
    <w:sectPr>
      <w:headerReference w:type="default" r:id="rId34"/>
      <w:footerReference w:type="default" r:id="rId3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1AB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DD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822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251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5260" TargetMode="External"/><Relationship Id="rId8" Type="http://schemas.openxmlformats.org/officeDocument/2006/relationships/hyperlink" Target="section-5261" TargetMode="External"/><Relationship Id="rId9" Type="http://schemas.openxmlformats.org/officeDocument/2006/relationships/hyperlink" Target="section-5262" TargetMode="External"/><Relationship Id="rId10" Type="http://schemas.openxmlformats.org/officeDocument/2006/relationships/hyperlink" Target="section-5263" TargetMode="External"/><Relationship Id="rId11" Type="http://schemas.openxmlformats.org/officeDocument/2006/relationships/hyperlink" Target="section-5265" TargetMode="External"/><Relationship Id="rId12" Type="http://schemas.openxmlformats.org/officeDocument/2006/relationships/hyperlink" Target="section-5266" TargetMode="External"/><Relationship Id="rId13" Type="http://schemas.openxmlformats.org/officeDocument/2006/relationships/hyperlink" Target="section-5268" TargetMode="External"/><Relationship Id="rId14" Type="http://schemas.openxmlformats.org/officeDocument/2006/relationships/hyperlink" Target="section-5269" TargetMode="External"/><Relationship Id="rId15" Type="http://schemas.openxmlformats.org/officeDocument/2006/relationships/hyperlink" Target="section-5271" TargetMode="External"/><Relationship Id="rId16" Type="http://schemas.openxmlformats.org/officeDocument/2006/relationships/hyperlink" Target="section-5274" TargetMode="External"/><Relationship Id="rId17" Type="http://schemas.openxmlformats.org/officeDocument/2006/relationships/hyperlink" Target="section-5275" TargetMode="External"/><Relationship Id="rId18" Type="http://schemas.openxmlformats.org/officeDocument/2006/relationships/hyperlink" Target="section-5276" TargetMode="External"/><Relationship Id="rId19" Type="http://schemas.openxmlformats.org/officeDocument/2006/relationships/hyperlink" Target="section-5277" TargetMode="External"/><Relationship Id="rId20" Type="http://schemas.openxmlformats.org/officeDocument/2006/relationships/hyperlink" Target="section-5278" TargetMode="External"/><Relationship Id="rId21" Type="http://schemas.openxmlformats.org/officeDocument/2006/relationships/hyperlink" Target="section-5280" TargetMode="External"/><Relationship Id="rId22" Type="http://schemas.openxmlformats.org/officeDocument/2006/relationships/hyperlink" Target="section-5282" TargetMode="External"/><Relationship Id="rId23" Type="http://schemas.openxmlformats.org/officeDocument/2006/relationships/hyperlink" Target="section-5285" TargetMode="External"/><Relationship Id="rId24" Type="http://schemas.openxmlformats.org/officeDocument/2006/relationships/hyperlink" Target="section-5286" TargetMode="External"/><Relationship Id="rId25" Type="http://schemas.openxmlformats.org/officeDocument/2006/relationships/hyperlink" Target="section-5288" TargetMode="External"/><Relationship Id="rId26" Type="http://schemas.openxmlformats.org/officeDocument/2006/relationships/hyperlink" Target="section-5290" TargetMode="External"/><Relationship Id="rId27" Type="http://schemas.openxmlformats.org/officeDocument/2006/relationships/hyperlink" Target="http://www.pisrs.si/Pis.web/pregledPredpisa?id=ZAKO7103" TargetMode="External"/><Relationship Id="rId28" Type="http://schemas.openxmlformats.org/officeDocument/2006/relationships/hyperlink" Target="https://pisrs.si/pregledPredpisa?id=URED7424" TargetMode="External"/><Relationship Id="rId29" Type="http://schemas.openxmlformats.org/officeDocument/2006/relationships/hyperlink" Target="https://www.gov.si/en/" TargetMode="External"/><Relationship Id="rId30" Type="http://schemas.openxmlformats.org/officeDocument/2006/relationships/hyperlink" Target="https://www.unhcr.org/slovenia.html" TargetMode="External"/><Relationship Id="rId31" Type="http://schemas.openxmlformats.org/officeDocument/2006/relationships/hyperlink" Target="https://www.gov.si/en/state-authorities/ministries/ministry-of-the-interior/" TargetMode="External"/><Relationship Id="rId32" Type="http://schemas.openxmlformats.org/officeDocument/2006/relationships/hyperlink" Target="https://www.gov.si/drzavni-organi/vladne-sluzbe/urad-vlade-za-oskrbo-in-integracijo-migrantov/" TargetMode="External"/><Relationship Id="rId33" Type="http://schemas.openxmlformats.org/officeDocument/2006/relationships/hyperlink" Target="https://slovenia.iom.int/" TargetMode="External"/><Relationship Id="rId34" Type="http://schemas.openxmlformats.org/officeDocument/2006/relationships/header" Target="header1.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2026-07-12T13:57:27+00:00</dcterms:created>
  <dcterms:modified xsi:type="dcterms:W3CDTF">2026-07-12T13:57:27+00:00</dcterms:modified>
</cp:coreProperties>
</file>

<file path=docProps/custom.xml><?xml version="1.0" encoding="utf-8"?>
<Properties xmlns="http://schemas.openxmlformats.org/officeDocument/2006/custom-properties" xmlns:vt="http://schemas.openxmlformats.org/officeDocument/2006/docPropsVTypes"/>
</file>