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Resettlement and humanitarian admission - Czechia</w:t>
      </w:r>
    </w:p>
    <w:p>
      <w:pPr>
        <w:pStyle w:val="Heading2"/>
      </w:pPr>
      <w:r>
        <w:rPr/>
        <w:t xml:space="preserve">Overview</w:t>
      </w:r>
    </w:p>
    <w:p>
      <w:pPr>
        <w:pStyle w:val="Heading2"/>
      </w:pPr>
      <w:r>
        <w:rPr/>
        <w:t xml:space="preserve">Relevant EU legislation</w:t>
      </w:r>
    </w:p>
    <w:p>
      <w:pPr/>
      <w:r>
        <w:rPr/>
        <w:t xml:space="preserve">Czechia is bound by the Union Resettlement and Humanitarian Admission Framework Regulation (URF).</w:t>
      </w:r>
    </w:p>
    <w:p>
      <w:pPr>
        <w:pStyle w:val="Heading2"/>
      </w:pPr>
      <w:r>
        <w:rPr/>
        <w:t xml:space="preserve">National legislation</w:t>
      </w:r>
    </w:p>
    <w:p>
      <w:pPr/>
      <w:r>
        <w:rPr/>
        <w:t xml:space="preserve">11.11.1999: </w:t>
      </w:r>
      <w:hyperlink r:id="rId7" w:history="1">
        <w:r>
          <w:rPr>
            <w:color w:val="var(--word-link)"/>
          </w:rPr>
          <w:t xml:space="preserve">Zákon č. 325/1999 Sb., o azylu | Act No 325/1999 Coll. on Asylum (Asylum Law)</w:t>
        </w:r>
      </w:hyperlink>
    </w:p>
    <w:p>
      <w:pPr>
        <w:pStyle w:val="Heading2"/>
      </w:pPr>
      <w:r>
        <w:rPr/>
        <w:t xml:space="preserve">Competent authority and stakeholders</w:t>
      </w:r>
    </w:p>
    <w:tbl>
      <w:tblGrid>
        <w:gridCol/>
        <w:gridCol/>
      </w:tblGrid>
      <w:tblPr>
        <w:tblW w:w="9072" w:type="dxa"/>
        <w:tblLayout w:type="autofit"/>
        <w:tblCellMar>
          <w:top w:w="80" w:type="dxa"/>
          <w:left w:w="115" w:type="dxa"/>
          <w:right w:w="115" w:type="dxa"/>
          <w:bottom w:w="80" w:type="dxa"/>
        </w:tblCellMar>
        <w:tblBorders>
          <w:top w:val="single" w:sz="4" w:color="000000"/>
          <w:left w:val="single" w:sz="4" w:color="000000"/>
          <w:right w:val="single" w:sz="4" w:color="000000"/>
          <w:bottom w:val="single" w:sz="4" w:color="000000"/>
          <w:insideH w:val="single" w:sz="4" w:color="000000"/>
          <w:insideV w:val="single" w:sz="4" w:color="000000"/>
        </w:tblBorders>
      </w:tblPr>
      <w:tr>
        <w:trPr/>
        <w:tc>
          <w:tcPr>
            <w:tcW w:w="2994" w:type="dxa"/>
            <w:noWrap/>
          </w:tcPr>
          <w:p>
            <w:pPr/>
            <w:r>
              <w:rPr/>
              <w:t xml:space="preserve">Authorities responsible for establishing resettlement and humanitarian admission policy</w:t>
            </w:r>
          </w:p>
        </w:tc>
        <w:tc>
          <w:tcPr>
            <w:tcW w:w="6078" w:type="dxa"/>
            <w:noWrap/>
          </w:tcPr>
          <w:p>
            <w:pPr/>
            <w:r>
              <w:rPr/>
              <w:t xml:space="preserve">Ministry of the Interior</w:t>
            </w:r>
          </w:p>
        </w:tc>
      </w:tr>
      <w:tr>
        <w:trPr/>
        <w:tc>
          <w:tcPr>
            <w:tcW w:w="2994" w:type="dxa"/>
            <w:noWrap/>
          </w:tcPr>
          <w:p>
            <w:pPr/>
            <w:r>
              <w:rPr/>
              <w:t xml:space="preserve">Identification and referral of refugees for a) resettlement programmes b) humanitarian admission programmes c) community sponsorship programmes</w:t>
            </w:r>
          </w:p>
        </w:tc>
        <w:tc>
          <w:tcPr>
            <w:tcW w:w="6078" w:type="dxa"/>
            <w:noWrap/>
          </w:tcPr>
          <w:p>
            <w:pPr/>
            <w:r>
              <w:rPr/>
              <w:t xml:space="preserve">n/a</w:t>
            </w:r>
          </w:p>
        </w:tc>
      </w:tr>
      <w:tr>
        <w:trPr/>
        <w:tc>
          <w:tcPr>
            <w:tcW w:w="2994" w:type="dxa"/>
            <w:noWrap/>
          </w:tcPr>
          <w:p>
            <w:pPr/>
            <w:r>
              <w:rPr/>
              <w:t xml:space="preserve">Selection of refugees for a) resettlement programmes b) humanitarian admission programmes c) community sponsorship programmes</w:t>
            </w:r>
          </w:p>
        </w:tc>
        <w:tc>
          <w:tcPr>
            <w:tcW w:w="6078" w:type="dxa"/>
            <w:noWrap/>
          </w:tcPr>
          <w:p>
            <w:pPr/>
            <w:r>
              <w:rPr/>
              <w:t xml:space="preserve">n/a</w:t>
            </w:r>
          </w:p>
        </w:tc>
      </w:tr>
      <w:tr>
        <w:trPr/>
        <w:tc>
          <w:tcPr>
            <w:tcW w:w="2994" w:type="dxa"/>
            <w:noWrap/>
          </w:tcPr>
          <w:p>
            <w:pPr/>
            <w:r>
              <w:rPr/>
              <w:t xml:space="preserve">Pre-departure assistance a) resettlement programmes b) humanitarian admission programmes c) community sponsorship programmes</w:t>
            </w:r>
          </w:p>
        </w:tc>
        <w:tc>
          <w:tcPr>
            <w:tcW w:w="6078" w:type="dxa"/>
            <w:noWrap/>
          </w:tcPr>
          <w:p>
            <w:pPr/>
            <w:r>
              <w:rPr/>
              <w:t xml:space="preserve">n/a</w:t>
            </w:r>
          </w:p>
        </w:tc>
      </w:tr>
      <w:tr>
        <w:trPr/>
        <w:tc>
          <w:tcPr>
            <w:tcW w:w="2994" w:type="dxa"/>
            <w:noWrap/>
          </w:tcPr>
          <w:p>
            <w:pPr/>
            <w:r>
              <w:rPr/>
              <w:t xml:space="preserve">Travel arrangements a) resettlement programmes b) humanitarian admission programmes c) community sponsorship programmes</w:t>
            </w:r>
          </w:p>
        </w:tc>
        <w:tc>
          <w:tcPr>
            <w:tcW w:w="6078" w:type="dxa"/>
            <w:noWrap/>
          </w:tcPr>
          <w:p>
            <w:pPr/>
            <w:r>
              <w:rPr/>
              <w:t xml:space="preserve">n/a</w:t>
            </w:r>
          </w:p>
        </w:tc>
      </w:tr>
      <w:tr>
        <w:trPr/>
        <w:tc>
          <w:tcPr>
            <w:tcW w:w="2994" w:type="dxa"/>
            <w:noWrap/>
          </w:tcPr>
          <w:p>
            <w:pPr/>
            <w:r>
              <w:rPr/>
              <w:t xml:space="preserve">Arrival and reception a) resettlement programmes b) humanitarian admission programmes c) community sponsorship programmes</w:t>
            </w:r>
          </w:p>
        </w:tc>
        <w:tc>
          <w:tcPr>
            <w:tcW w:w="6078" w:type="dxa"/>
            <w:noWrap/>
          </w:tcPr>
          <w:p>
            <w:pPr/>
            <w:r>
              <w:rPr/>
              <w:t xml:space="preserve">n/a</w:t>
            </w:r>
          </w:p>
        </w:tc>
      </w:tr>
    </w:tbl>
    <w:p>
      <w:pPr>
        <w:pStyle w:val="Heading2"/>
      </w:pPr>
      <w:r>
        <w:rPr/>
        <w:t xml:space="preserve">Programmes currently in place</w:t>
      </w:r>
    </w:p>
    <w:p>
      <w:pPr/>
      <w:r>
        <w:rPr/>
        <w:t xml:space="preserve">Czechia currently does not implement resettlement and humanitarian admission programmes.</w:t>
      </w:r>
    </w:p>
    <w:p>
      <w:pPr>
        <w:pStyle w:val="Heading2"/>
      </w:pPr>
      <w:r>
        <w:rPr/>
        <w:t xml:space="preserve">National quotas on resettlement and humanitarian admission</w:t>
      </w:r>
    </w:p>
    <w:p>
      <w:pPr/>
      <w:r>
        <w:rPr/>
        <w:t xml:space="preserve">Czechia does not implement resettlement or humanitarian admission programmes at the moment.</w:t>
      </w:r>
    </w:p>
    <w:p>
      <w:pPr>
        <w:pStyle w:val="Heading2"/>
      </w:pPr>
      <w:r>
        <w:rPr/>
        <w:t xml:space="preserve">National commitments for resettlement, humanitarian admission and emergency quota</w:t>
      </w:r>
    </w:p>
    <w:p>
      <w:pPr/>
      <w:r>
        <w:rPr/>
        <w:t xml:space="preserve"> </w:t>
      </w:r>
    </w:p>
    <w:tbl>
      <w:tblGrid>
        <w:gridCol/>
        <w:gridCol/>
        <w:gridCol/>
        <w:gridCol/>
      </w:tblGrid>
      <w:tblPr>
        <w:tblW w:w="9072" w:type="dxa"/>
        <w:tblLayout w:type="autofit"/>
        <w:tblCellMar>
          <w:top w:w="80" w:type="dxa"/>
          <w:left w:w="115" w:type="dxa"/>
          <w:right w:w="115" w:type="dxa"/>
          <w:bottom w:w="80" w:type="dxa"/>
        </w:tblCellMar>
        <w:tblBorders>
          <w:top w:val="single" w:sz="4" w:color="000000"/>
          <w:left w:val="single" w:sz="4" w:color="000000"/>
          <w:right w:val="single" w:sz="4" w:color="000000"/>
          <w:bottom w:val="single" w:sz="4" w:color="000000"/>
          <w:insideH w:val="single" w:sz="4" w:color="000000"/>
          <w:insideV w:val="single" w:sz="4" w:color="000000"/>
        </w:tblBorders>
      </w:tblPr>
      <w:tr>
        <w:trPr>
          <w:tblHeader w:val="1"/>
        </w:trPr>
        <w:tc>
          <w:tcPr>
            <w:tcW w:w="2268" w:type="dxa"/>
            <w:noWrap/>
          </w:tcPr>
          <w:p>
            <w:pPr/>
            <w:r>
              <w:rPr/>
              <w:t xml:space="preserve">2-year Union Plan</w:t>
            </w:r>
          </w:p>
        </w:tc>
        <w:tc>
          <w:tcPr>
            <w:tcW w:w="2268" w:type="dxa"/>
            <w:noWrap/>
          </w:tcPr>
          <w:p>
            <w:pPr/>
            <w:r>
              <w:rPr/>
              <w:t xml:space="preserve">National commitment for resettlement</w:t>
            </w:r>
          </w:p>
        </w:tc>
        <w:tc>
          <w:tcPr>
            <w:tcW w:w="2268" w:type="dxa"/>
            <w:noWrap/>
          </w:tcPr>
          <w:p>
            <w:pPr/>
            <w:r>
              <w:rPr/>
              <w:t xml:space="preserve">National commitment for humanitarian admissions</w:t>
            </w:r>
          </w:p>
        </w:tc>
        <w:tc>
          <w:tcPr>
            <w:tcW w:w="2268" w:type="dxa"/>
            <w:noWrap/>
          </w:tcPr>
          <w:p>
            <w:pPr/>
            <w:r>
              <w:rPr/>
              <w:t xml:space="preserve">Emergency quota</w:t>
            </w:r>
          </w:p>
        </w:tc>
      </w:tr>
      <w:tr>
        <w:trPr/>
        <w:tc>
          <w:tcPr>
            <w:tcW w:w="2268" w:type="dxa"/>
            <w:noWrap/>
          </w:tcPr>
          <w:p>
            <w:pPr/>
            <w:r>
              <w:rPr/>
              <w:t xml:space="preserve">Period 2024-2025</w:t>
            </w:r>
          </w:p>
        </w:tc>
        <w:tc>
          <w:tcPr>
            <w:tcW w:w="2268" w:type="dxa"/>
            <w:noWrap/>
          </w:tcPr>
          <w:p>
            <w:pPr/>
            <w:r>
              <w:rPr/>
              <w:t xml:space="preserve">n/a</w:t>
            </w:r>
          </w:p>
        </w:tc>
        <w:tc>
          <w:tcPr>
            <w:tcW w:w="2268" w:type="dxa"/>
            <w:noWrap/>
          </w:tcPr>
          <w:p>
            <w:pPr/>
            <w:r>
              <w:rPr/>
              <w:t xml:space="preserve">n/a</w:t>
            </w:r>
          </w:p>
        </w:tc>
        <w:tc>
          <w:tcPr>
            <w:tcW w:w="2268" w:type="dxa"/>
            <w:noWrap/>
          </w:tcPr>
          <w:p>
            <w:pPr/>
            <w:r>
              <w:rPr/>
              <w:t xml:space="preserve">n/a</w:t>
            </w:r>
          </w:p>
        </w:tc>
      </w:tr>
      <w:tr>
        <w:trPr/>
        <w:tc>
          <w:tcPr>
            <w:tcW w:w="2268" w:type="dxa"/>
            <w:noWrap/>
          </w:tcPr>
          <w:p>
            <w:pPr/>
            <w:r>
              <w:rPr/>
              <w:t xml:space="preserve">Period 2026-2027</w:t>
            </w:r>
          </w:p>
        </w:tc>
        <w:tc>
          <w:tcPr>
            <w:tcW w:w="2268" w:type="dxa"/>
            <w:noWrap/>
          </w:tcPr>
          <w:p>
            <w:pPr/>
            <w:r>
              <w:rPr/>
              <w:t xml:space="preserve">n/a</w:t>
            </w:r>
          </w:p>
        </w:tc>
        <w:tc>
          <w:tcPr>
            <w:tcW w:w="2268" w:type="dxa"/>
            <w:noWrap/>
          </w:tcPr>
          <w:p>
            <w:pPr/>
            <w:r>
              <w:rPr/>
              <w:t xml:space="preserve">n/a</w:t>
            </w:r>
          </w:p>
        </w:tc>
        <w:tc>
          <w:tcPr>
            <w:tcW w:w="2268" w:type="dxa"/>
            <w:noWrap/>
          </w:tcPr>
          <w:p>
            <w:pPr/>
            <w:r>
              <w:rPr/>
              <w:t xml:space="preserve">n/a</w:t>
            </w:r>
          </w:p>
        </w:tc>
      </w:tr>
      <w:tr>
        <w:trPr/>
        <w:tc>
          <w:tcPr>
            <w:tcW w:w="2268" w:type="dxa"/>
            <w:noWrap/>
          </w:tcPr>
          <w:p>
            <w:pPr/>
            <w:r>
              <w:rPr/>
              <w:t xml:space="preserve">Period 2028-2029</w:t>
            </w:r>
          </w:p>
        </w:tc>
        <w:tc>
          <w:tcPr>
            <w:tcW w:w="2268" w:type="dxa"/>
            <w:noWrap/>
          </w:tcPr>
          <w:p>
            <w:pPr/>
            <w:r>
              <w:rPr/>
              <w:t xml:space="preserve">n/a</w:t>
            </w:r>
          </w:p>
        </w:tc>
        <w:tc>
          <w:tcPr>
            <w:tcW w:w="2268" w:type="dxa"/>
            <w:noWrap/>
          </w:tcPr>
          <w:p>
            <w:pPr/>
            <w:r>
              <w:rPr/>
              <w:t xml:space="preserve">n/a</w:t>
            </w:r>
          </w:p>
        </w:tc>
        <w:tc>
          <w:tcPr>
            <w:tcW w:w="2268" w:type="dxa"/>
            <w:noWrap/>
          </w:tcPr>
          <w:p>
            <w:pPr/>
            <w:r>
              <w:rPr/>
              <w:t xml:space="preserve">n/a</w:t>
            </w:r>
          </w:p>
        </w:tc>
      </w:tr>
    </w:tbl>
    <w:p>
      <w:pPr>
        <w:pStyle w:val="Heading2"/>
      </w:pPr>
      <w:r>
        <w:rPr/>
        <w:t xml:space="preserve">Procedural and practical arrangements</w:t>
      </w:r>
    </w:p>
    <w:p>
      <w:pPr/>
      <w:r>
        <w:rPr/>
        <w:t xml:space="preserve">Czechia does not implement resettlement or humanitarian admission programmes at the moment.</w:t>
      </w:r>
    </w:p>
    <w:p>
      <w:pPr>
        <w:pStyle w:val="Heading2"/>
      </w:pPr>
      <w:r>
        <w:rPr/>
        <w:t xml:space="preserve">The admission procedure</w:t>
      </w:r>
    </w:p>
    <w:p>
      <w:pPr/>
      <w:r>
        <w:rPr/>
        <w:t xml:space="preserve">Czechia does not implement resettlement or humanitarian admission programmes at the moment.</w:t>
      </w:r>
    </w:p>
    <w:p>
      <w:pPr>
        <w:pStyle w:val="Heading2"/>
      </w:pPr>
      <w:r>
        <w:rPr/>
        <w:t xml:space="preserve">Type of protection granted and residence permit issued after the admission procedure</w:t>
      </w:r>
    </w:p>
    <w:p>
      <w:pPr/>
      <w:r>
        <w:rPr/>
        <w:t xml:space="preserve">Czechia does not implement resettlement or humanitarian admission programmes at the moment.</w:t>
      </w:r>
    </w:p>
    <w:p>
      <w:pPr>
        <w:pStyle w:val="Heading2"/>
      </w:pPr>
      <w:r>
        <w:rPr/>
        <w:t xml:space="preserve">Pre-departure assistance</w:t>
      </w:r>
    </w:p>
    <w:p>
      <w:pPr/>
      <w:r>
        <w:rPr/>
        <w:t xml:space="preserve">Czechia does not implement resettlement or humanitarian admission programmes at the moment.</w:t>
      </w:r>
    </w:p>
    <w:p>
      <w:pPr>
        <w:pStyle w:val="Heading2"/>
      </w:pPr>
      <w:r>
        <w:rPr/>
        <w:t xml:space="preserve">Travel arrangements</w:t>
      </w:r>
    </w:p>
    <w:p>
      <w:pPr/>
      <w:r>
        <w:rPr/>
        <w:t xml:space="preserve">Czechia does not implement resettlement or humanitarian admission programmes at the moment.</w:t>
      </w:r>
    </w:p>
    <w:p>
      <w:pPr>
        <w:pStyle w:val="Heading2"/>
      </w:pPr>
      <w:r>
        <w:rPr/>
        <w:t xml:space="preserve">Arrival and reception</w:t>
      </w:r>
    </w:p>
    <w:p>
      <w:pPr/>
      <w:r>
        <w:rPr/>
        <w:t xml:space="preserve">Czechia does not implement resettlement or humanitarian admission programmes at the moment.</w:t>
      </w:r>
    </w:p>
    <w:p>
      <w:pPr>
        <w:pStyle w:val="Heading2"/>
      </w:pPr>
      <w:r>
        <w:rPr/>
        <w:t xml:space="preserve">Integration support to resettled and admitted refugees</w:t>
      </w:r>
    </w:p>
    <w:p>
      <w:pPr/>
      <w:r>
        <w:rPr/>
        <w:t xml:space="preserve">Czechia does not implement resettlement or humanitarian admission programmes at the moment.</w:t>
      </w:r>
    </w:p>
    <w:p>
      <w:pPr>
        <w:pStyle w:val="Heading2"/>
      </w:pPr>
      <w:r>
        <w:rPr/>
        <w:t xml:space="preserve">Resettlement programmes</w:t>
      </w:r>
    </w:p>
    <w:p>
      <w:pPr/>
      <w:r>
        <w:rPr/>
        <w:t xml:space="preserve">Czechia does not implement resettlement or humanitarian admission programmes at the moment.</w:t>
      </w:r>
    </w:p>
    <w:p>
      <w:pPr>
        <w:pStyle w:val="Heading2"/>
      </w:pPr>
      <w:r>
        <w:rPr/>
        <w:t xml:space="preserve">Humanitarian admission programmes</w:t>
      </w:r>
    </w:p>
    <w:p>
      <w:pPr/>
      <w:r>
        <w:rPr/>
        <w:t xml:space="preserve">Czechia does not implement resettlement or humanitarian admission programmes at the moment.</w:t>
      </w:r>
    </w:p>
    <w:p>
      <w:pPr>
        <w:pStyle w:val="Heading2"/>
      </w:pPr>
      <w:r>
        <w:rPr/>
        <w:t xml:space="preserve">Complementary pathways</w:t>
      </w:r>
    </w:p>
    <w:p>
      <w:pPr/>
      <w:r>
        <w:rPr/>
        <w:t xml:space="preserve">Czechia does not implement resettlement or humanitarian admission programmes at the moment.</w:t>
      </w:r>
    </w:p>
    <w:p>
      <w:pPr>
        <w:pStyle w:val="Heading2"/>
      </w:pPr>
      <w:r>
        <w:rPr/>
        <w:t xml:space="preserve">Community sponsorship schemes related to state-led resettlement programmes</w:t>
      </w:r>
    </w:p>
    <w:p>
      <w:pPr/>
      <w:r>
        <w:rPr/>
        <w:t xml:space="preserve">Czechia does not implement resettlement or humanitarian admission programmes at the moment.</w:t>
      </w:r>
    </w:p>
    <w:p>
      <w:pPr>
        <w:pStyle w:val="Heading2"/>
      </w:pPr>
      <w:r>
        <w:rPr/>
        <w:t xml:space="preserve">Community sponsorship schemes linked to civil society-led humanitarian admission programmes</w:t>
      </w:r>
    </w:p>
    <w:p>
      <w:pPr/>
      <w:r>
        <w:rPr/>
        <w:t xml:space="preserve">Czechia does not implement resettlement or humanitarian admission programmes at the moment.</w:t>
      </w:r>
    </w:p>
    <w:p>
      <w:pPr>
        <w:pStyle w:val="Heading2"/>
      </w:pPr>
      <w:r>
        <w:rPr/>
        <w:t xml:space="preserve">Community sponsorship schemes linked to other complementary pathways</w:t>
      </w:r>
    </w:p>
    <w:p>
      <w:pPr/>
      <w:r>
        <w:rPr/>
        <w:t xml:space="preserve">Czechia does not implement resettlement or humanitarian admission programmes at the moment.</w:t>
      </w:r>
    </w:p>
    <w:sectPr>
      <w:headerReference w:type="default" r:id="rId8"/>
      <w:footerReference w:type="default" r:id="rId9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31-05-2026</w:t>
    </w:r>
  </w:p>
  <w:p>
    <w:pPr>
      <w:spacing w:before="0" w:after="0"/>
    </w:pPr>
    <w:r>
      <w:rPr>
        <w:sz w:val="16"/>
        <w:szCs w:val="16"/>
      </w:rPr>
      <w:t xml:space="preserve">Resettlement and humanitarian admission - Czechia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v.gov.cz/mvcren/article/procedure-for-granting-international-protection-in-the-czech-republic.aspx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2026-05-31T05:33:57+00:00</dcterms:created>
  <dcterms:modified xsi:type="dcterms:W3CDTF">2026-05-31T05:33:57+00:00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