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Luxembourg</w:t>
      </w:r>
    </w:p>
    <w:p>
      <w:pPr>
        <w:pStyle w:val="Heading2"/>
      </w:pPr>
      <w:r>
        <w:rPr/>
        <w:t xml:space="preserve">Overview</w:t>
      </w:r>
    </w:p>
    <w:p>
      <w:pPr>
        <w:pStyle w:val="Heading2"/>
      </w:pPr>
      <w:r>
        <w:rPr/>
        <w:t xml:space="preserve">Relevant EU legislation</w:t>
      </w:r>
    </w:p>
    <w:p>
      <w:pPr/>
      <w:r>
        <w:rPr/>
        <w:t xml:space="preserve">Luxembourg implemented to provisions of the Union Resettlement and Humanitarian Admission Framework Regulation (URF) and applies them directly.</w:t>
      </w:r>
    </w:p>
    <w:p>
      <w:pPr>
        <w:pStyle w:val="Heading2"/>
      </w:pPr>
      <w:r>
        <w:rPr/>
        <w:t xml:space="preserve">National legislation</w:t>
      </w:r>
    </w:p>
    <w:p>
      <w:pPr/>
      <w:r>
        <w:rPr/>
        <w:t xml:space="preserve">Resettlement is handled within existing legislation, including the amended Law of 18 December 2015 on international protection and temporary protection, et al. (hereafter amended Asylum Law) |</w:t>
      </w:r>
      <w:hyperlink r:id="rId7" w:history="1">
        <w:r>
          <w:rPr>
            <w:color w:val="var(--word-link)"/>
          </w:rPr>
          <w:t xml:space="preserve"> Loi modifiée du 18 Décembre 2015 relative à la protection international et à la protection temporaire.</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Ministry of Home Affairs | </w:t>
            </w:r>
            <w:hyperlink r:id="rId8" w:history="1">
              <w:r>
                <w:rPr>
                  <w:color w:val="var(--word-link)"/>
                </w:rPr>
                <w:t xml:space="preserve">Ministère des Affaires intérieures</w:t>
              </w:r>
            </w:hyperlink>
          </w:p>
        </w:tc>
      </w:tr>
      <w:tr>
        <w:trPr/>
        <w:tc>
          <w:tcPr>
            <w:tcW w:w="2994" w:type="dxa"/>
            <w:noWrap/>
          </w:tcPr>
          <w:p>
            <w:pPr/>
            <w:r>
              <w:rPr/>
              <w:t xml:space="preserve">Identification and referral of refugees for </w:t>
            </w:r>
            <w:br/>
            <w:r>
              <w:rPr/>
              <w:t xml:space="preserve">a) resettlement programmes</w:t>
            </w:r>
            <w:br/>
            <w:r>
              <w:rPr/>
              <w:t xml:space="preserve">b) humanitarian admission programmes</w:t>
            </w:r>
            <w:br/>
            <w:r>
              <w:rPr/>
              <w:t xml:space="preserve">c) community sponsorship programmes</w:t>
            </w:r>
            <w:br/>
            <w:r>
              <w:rPr/>
              <w:t xml:space="preserve"> </w:t>
            </w:r>
          </w:p>
        </w:tc>
        <w:tc>
          <w:tcPr>
            <w:tcW w:w="6078" w:type="dxa"/>
            <w:noWrap/>
          </w:tcPr>
          <w:p>
            <w:pPr/>
            <w:hyperlink r:id="rId9" w:history="1">
              <w:r>
                <w:rPr>
                  <w:color w:val="var(--word-link)"/>
                </w:rPr>
                <w:t xml:space="preserve">United Nations High Commissioner for Refugees</w:t>
              </w:r>
            </w:hyperlink>
            <w:r>
              <w:rPr/>
              <w:t xml:space="preserve"> (UNHCR)</w:t>
            </w:r>
          </w:p>
        </w:tc>
      </w:tr>
      <w:tr>
        <w:trPr/>
        <w:tc>
          <w:tcPr>
            <w:tcW w:w="2994" w:type="dxa"/>
            <w:noWrap/>
          </w:tcPr>
          <w:p>
            <w:pPr/>
            <w:r>
              <w:rPr/>
              <w:t xml:space="preserve">Selection of refugees for </w:t>
            </w:r>
            <w:br/>
            <w:r>
              <w:rPr/>
              <w:t xml:space="preserve">a) resettlement programmes</w:t>
            </w:r>
            <w:br/>
            <w:r>
              <w:rPr/>
              <w:t xml:space="preserve">b) humanitarian admission programmes</w:t>
            </w:r>
            <w:br/>
            <w:r>
              <w:rPr/>
              <w:t xml:space="preserve">c) community sponsorship programmes</w:t>
            </w:r>
            <w:br/>
            <w:r>
              <w:rPr/>
              <w:t xml:space="preserve"> </w:t>
            </w:r>
          </w:p>
        </w:tc>
        <w:tc>
          <w:tcPr>
            <w:tcW w:w="6078" w:type="dxa"/>
            <w:noWrap/>
          </w:tcPr>
          <w:p>
            <w:pPr/>
            <w:r>
              <w:rPr/>
              <w:t xml:space="preserve">Ministry of Home Affairs, </w:t>
            </w:r>
            <w:hyperlink r:id="rId10" w:history="1">
              <w:r>
                <w:rPr>
                  <w:color w:val="var(--word-link)"/>
                </w:rPr>
                <w:t xml:space="preserve">General Department of immigration</w:t>
              </w:r>
            </w:hyperlink>
            <w:r>
              <w:rPr/>
              <w:t xml:space="preserve"> | Ministère des Affaires intérieures, </w:t>
            </w:r>
            <w:hyperlink r:id="rId10" w:history="1">
              <w:r>
                <w:rPr>
                  <w:color w:val="var(--word-link)"/>
                </w:rPr>
                <w:t xml:space="preserve">Direction générale de l'immigration</w:t>
              </w:r>
            </w:hyperlink>
            <w:r>
              <w:rPr/>
              <w:t xml:space="preserve">.</w:t>
            </w:r>
          </w:p>
          <w:p>
            <w:pPr/>
            <w:r>
              <w:rPr/>
              <w:t xml:space="preserve">State Intelligence Services | </w:t>
            </w:r>
            <w:hyperlink r:id="rId11" w:history="1">
              <w:r>
                <w:rPr>
                  <w:color w:val="var(--word-link)"/>
                </w:rPr>
                <w:t xml:space="preserve">Service de renseignement de l'État</w:t>
              </w:r>
            </w:hyperlink>
            <w:r>
              <w:rPr/>
              <w:t xml:space="preserve"> (SRE)</w:t>
            </w:r>
          </w:p>
          <w:p>
            <w:pPr/>
            <w:hyperlink r:id="rId12" w:history="1">
              <w:r>
                <w:rPr>
                  <w:color w:val="var(--word-link)"/>
                </w:rPr>
                <w:t xml:space="preserve">Police Lëtzebuerg</w:t>
              </w:r>
            </w:hyperlink>
            <w:r>
              <w:rPr/>
              <w:t xml:space="preserve"> Criminal investigation department (Service de police judiciaire - SPJ) </w:t>
            </w:r>
            <w:br/>
            <w:r>
              <w:rPr/>
              <w:t xml:space="preserve"> </w:t>
            </w:r>
          </w:p>
        </w:tc>
      </w:tr>
      <w:tr>
        <w:trPr/>
        <w:tc>
          <w:tcPr>
            <w:tcW w:w="2994" w:type="dxa"/>
            <w:noWrap/>
          </w:tcPr>
          <w:p>
            <w:pPr/>
            <w:r>
              <w:rPr/>
              <w:t xml:space="preserve">Pre-departure assistance </w:t>
            </w:r>
            <w:br/>
            <w:r>
              <w:rPr/>
              <w:t xml:space="preserve">a) resettlement programmes</w:t>
            </w:r>
            <w:br/>
            <w:r>
              <w:rPr/>
              <w:t xml:space="preserve">b) humanitarian admission programmes</w:t>
            </w:r>
            <w:br/>
            <w:r>
              <w:rPr/>
              <w:t xml:space="preserve">c) community sponsorship programmes</w:t>
            </w:r>
            <w:br/>
            <w:r>
              <w:rPr/>
              <w:t xml:space="preserve"> </w:t>
            </w:r>
          </w:p>
        </w:tc>
        <w:tc>
          <w:tcPr>
            <w:tcW w:w="6078" w:type="dxa"/>
            <w:noWrap/>
          </w:tcPr>
          <w:p>
            <w:pPr/>
            <w:hyperlink r:id="rId13" w:history="1">
              <w:r>
                <w:rPr>
                  <w:color w:val="var(--word-link)"/>
                </w:rPr>
                <w:t xml:space="preserve">International Organisation for Migration</w:t>
              </w:r>
            </w:hyperlink>
            <w:r>
              <w:rPr/>
              <w:t xml:space="preserve"> (IOM)</w:t>
            </w:r>
          </w:p>
          <w:p>
            <w:pPr/>
            <w:r>
              <w:rPr/>
              <w:t xml:space="preserve"> </w:t>
            </w:r>
          </w:p>
        </w:tc>
      </w:tr>
      <w:tr>
        <w:trPr/>
        <w:tc>
          <w:tcPr>
            <w:tcW w:w="2994" w:type="dxa"/>
            <w:noWrap/>
          </w:tcPr>
          <w:p>
            <w:pPr/>
            <w:r>
              <w:rPr/>
              <w:t xml:space="preserve">Travel arrangements </w:t>
            </w:r>
            <w:br/>
            <w:r>
              <w:rPr/>
              <w:t xml:space="preserve">a) resettlement programmes</w:t>
            </w:r>
            <w:br/>
            <w:r>
              <w:rPr/>
              <w:t xml:space="preserve">b) humanitarian admission programmes</w:t>
            </w:r>
            <w:br/>
            <w:r>
              <w:rPr/>
              <w:t xml:space="preserve">c) community sponsorship programmes</w:t>
            </w:r>
            <w:br/>
            <w:r>
              <w:rPr/>
              <w:t xml:space="preserve"> </w:t>
            </w:r>
          </w:p>
        </w:tc>
        <w:tc>
          <w:tcPr>
            <w:tcW w:w="6078" w:type="dxa"/>
            <w:noWrap/>
          </w:tcPr>
          <w:p>
            <w:pPr/>
            <w:hyperlink r:id="rId13" w:history="1">
              <w:r>
                <w:rPr>
                  <w:color w:val="var(--word-link)"/>
                </w:rPr>
                <w:t xml:space="preserve">International Organisation for Migration</w:t>
              </w:r>
            </w:hyperlink>
            <w:r>
              <w:rPr/>
              <w:t xml:space="preserve"> (IOM)</w:t>
            </w:r>
          </w:p>
          <w:p>
            <w:pPr/>
            <w:r>
              <w:rPr/>
              <w:t xml:space="preserve">Ministry of Home Affairs, </w:t>
            </w:r>
            <w:hyperlink r:id="rId10" w:history="1">
              <w:r>
                <w:rPr>
                  <w:color w:val="var(--word-link)"/>
                </w:rPr>
                <w:t xml:space="preserve">General Department of immigration</w:t>
              </w:r>
            </w:hyperlink>
            <w:r>
              <w:rPr/>
              <w:t xml:space="preserve"> | Ministère des Affaires intérieures, </w:t>
            </w:r>
            <w:hyperlink r:id="rId10" w:history="1">
              <w:r>
                <w:rPr>
                  <w:color w:val="var(--word-link)"/>
                </w:rPr>
                <w:t xml:space="preserve">Direction générale de l'immigration</w:t>
              </w:r>
            </w:hyperlink>
            <w:r>
              <w:rPr/>
              <w:t xml:space="preserve">.</w:t>
            </w:r>
          </w:p>
        </w:tc>
      </w:tr>
      <w:tr>
        <w:trPr/>
        <w:tc>
          <w:tcPr>
            <w:tcW w:w="2994" w:type="dxa"/>
            <w:noWrap/>
          </w:tcPr>
          <w:p>
            <w:pPr/>
            <w:r>
              <w:rPr/>
              <w:t xml:space="preserve">Arrival and reception </w:t>
            </w:r>
            <w:br/>
            <w:r>
              <w:rPr/>
              <w:t xml:space="preserve">a) resettlement programmes</w:t>
            </w:r>
            <w:br/>
            <w:r>
              <w:rPr/>
              <w:t xml:space="preserve">b) humanitarian admission programmes</w:t>
            </w:r>
            <w:br/>
            <w:r>
              <w:rPr/>
              <w:t xml:space="preserve">c) community sponsorship programmes</w:t>
            </w:r>
            <w:br/>
            <w:r>
              <w:rPr/>
              <w:t xml:space="preserve"> </w:t>
            </w:r>
          </w:p>
        </w:tc>
        <w:tc>
          <w:tcPr>
            <w:tcW w:w="6078" w:type="dxa"/>
            <w:noWrap/>
          </w:tcPr>
          <w:p>
            <w:pPr/>
            <w:r>
              <w:rPr/>
              <w:t xml:space="preserve">Ministry of Home Affairs, </w:t>
            </w:r>
            <w:hyperlink r:id="rId10" w:history="1">
              <w:r>
                <w:rPr>
                  <w:color w:val="var(--word-link)"/>
                </w:rPr>
                <w:t xml:space="preserve">General Department of immigration</w:t>
              </w:r>
            </w:hyperlink>
            <w:r>
              <w:rPr/>
              <w:t xml:space="preserve"> | Ministère des Affaires intérieures, </w:t>
            </w:r>
            <w:hyperlink r:id="rId10" w:history="1">
              <w:r>
                <w:rPr>
                  <w:color w:val="var(--word-link)"/>
                </w:rPr>
                <w:t xml:space="preserve">Direction générale de l'immigration</w:t>
              </w:r>
            </w:hyperlink>
            <w:r>
              <w:rPr/>
              <w:t xml:space="preserve">.</w:t>
            </w:r>
          </w:p>
          <w:p>
            <w:pPr/>
            <w:br/>
            <w:r>
              <w:rPr/>
              <w:t xml:space="preserve">Ministry of Family Affairs, Solidarity, Living Together and Reception on Refugees, National Reception Office | Ministère de la Famille, des Solidarités, du Vivre ensemble et de l’Accueil, </w:t>
            </w:r>
            <w:hyperlink r:id="rId14" w:history="1">
              <w:r>
                <w:rPr>
                  <w:color w:val="var(--word-link)"/>
                </w:rPr>
                <w:t xml:space="preserve">Office national de l'accueil</w:t>
              </w:r>
            </w:hyperlink>
            <w:r>
              <w:rPr/>
              <w:t xml:space="preserve"> (ONA)</w:t>
            </w:r>
          </w:p>
          <w:p>
            <w:pPr/>
            <w:r>
              <w:rPr/>
              <w:t xml:space="preserve">Health Inspection Department under the Ministry of Health | </w:t>
            </w:r>
            <w:hyperlink r:id="rId15" w:history="1">
              <w:r>
                <w:rPr>
                  <w:color w:val="var(--word-link)"/>
                </w:rPr>
                <w:t xml:space="preserve">Ministère de la Santé</w:t>
              </w:r>
            </w:hyperlink>
          </w:p>
          <w:p>
            <w:pPr/>
            <w:r>
              <w:rPr/>
              <w:t xml:space="preserve">Luxembourgish Red Cross | </w:t>
            </w:r>
            <w:hyperlink r:id="rId16" w:history="1">
              <w:r>
                <w:rPr>
                  <w:color w:val="var(--word-link)"/>
                </w:rPr>
                <w:t xml:space="preserve">Croix-Rouge Luxembourgeoise</w:t>
              </w:r>
            </w:hyperlink>
          </w:p>
          <w:p>
            <w:pPr/>
            <w:r>
              <w:rPr/>
              <w:t xml:space="preserve">Luxembourg Center for Integration and Social Cohesion | </w:t>
            </w:r>
            <w:hyperlink r:id="rId17" w:history="1">
              <w:r>
                <w:rPr>
                  <w:color w:val="var(--word-link)"/>
                </w:rPr>
                <w:t xml:space="preserve">Centre luxembourgeois pour l’intégration et la cohésion sociale</w:t>
              </w:r>
            </w:hyperlink>
            <w:r>
              <w:rPr/>
              <w:t xml:space="preserve"> (LISKO) | </w:t>
            </w:r>
            <w:hyperlink r:id="rId17" w:history="1">
              <w:r>
                <w:rPr>
                  <w:color w:val="var(--word-link)"/>
                </w:rPr>
                <w:t xml:space="preserve">Lëtzebuerger Integratiouns- a Sozialkohäsiounszenter</w:t>
              </w:r>
            </w:hyperlink>
            <w:r>
              <w:rPr/>
              <w:t xml:space="preserve"> (LISKO)</w:t>
            </w:r>
          </w:p>
        </w:tc>
      </w:tr>
    </w:tbl>
    <w:p>
      <w:pPr>
        <w:pStyle w:val="Heading2"/>
      </w:pPr>
      <w:r>
        <w:rPr/>
        <w:t xml:space="preserve">Programmes currently in place</w:t>
      </w:r>
    </w:p>
    <w:p>
      <w:pPr/>
      <w:r>
        <w:rPr/>
        <w:t xml:space="preserve">Resettlement programme is based on annual quotas within the framework of the European Resettlement Programme. However, Luxembourg currently does not have any programme in place.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10</w:t>
            </w:r>
          </w:p>
        </w:tc>
        <w:tc>
          <w:tcPr>
            <w:tcW w:w="2268" w:type="dxa"/>
            <w:noWrap/>
          </w:tcPr>
          <w:p>
            <w:pPr/>
            <w:r>
              <w:rPr/>
              <w:t xml:space="preserve">0</w:t>
            </w:r>
          </w:p>
        </w:tc>
        <w:tc>
          <w:tcPr>
            <w:tcW w:w="2268" w:type="dxa"/>
            <w:noWrap/>
          </w:tcPr>
          <w:p>
            <w:pPr/>
            <w:r>
              <w:rPr/>
              <w:t xml:space="preserve">0</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r>
        <w:rPr/>
        <w:t xml:space="preserve">Luxembourg pledged to receive 10 refugees, however, no programmes are in place to implement it due to the current overburdened reception capacity.</w:t>
      </w:r>
    </w:p>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r>
        <w:rPr/>
        <w:t xml:space="preserve"> Identification of the cases and referral is done by UNHCR to the General Department of Immigration in Luxembourg.</w:t>
      </w:r>
    </w:p>
    <w:p>
      <w:pPr/>
      <w:r>
        <w:rPr>
          <w:b w:val="1"/>
          <w:bCs w:val="1"/>
        </w:rPr>
        <w:t xml:space="preserve">Selection:</w:t>
      </w:r>
      <w:r>
        <w:rPr/>
        <w:t xml:space="preserve"> Selection takes place during a selection mission (face to face interviews) in the first country of asylum, following the referrals by UNHCR. </w:t>
      </w:r>
    </w:p>
    <w:p>
      <w:pPr/>
      <w:r>
        <w:rPr>
          <w:b w:val="1"/>
          <w:bCs w:val="1"/>
        </w:rPr>
        <w:t xml:space="preserve">Assessment:</w:t>
      </w:r>
      <w:r>
        <w:rPr/>
        <w:t xml:space="preserve"> Assessment is done during and after the selection mission.</w:t>
      </w:r>
    </w:p>
    <w:p>
      <w:pPr/>
      <w:r>
        <w:rPr>
          <w:b w:val="1"/>
          <w:bCs w:val="1"/>
        </w:rPr>
        <w:t xml:space="preserve">Timeframe:</w:t>
      </w:r>
      <w:r>
        <w:rPr/>
        <w:t xml:space="preserve"> It depends on the context, but generally in between 3–5 months.</w:t>
      </w:r>
    </w:p>
    <w:p>
      <w:pPr>
        <w:pStyle w:val="Heading2"/>
      </w:pPr>
      <w:r>
        <w:rPr/>
        <w:t xml:space="preserve">Type of protection granted and residence permit issued after the admission procedure</w:t>
      </w:r>
    </w:p>
    <w:p>
      <w:pPr/>
      <w:r>
        <w:rPr/>
        <w:t xml:space="preserve">Resettled refugees would be granted with refugee protection and all its corresponding rights.</w:t>
      </w:r>
    </w:p>
    <w:p>
      <w:pPr>
        <w:pStyle w:val="Heading2"/>
      </w:pPr>
      <w:r>
        <w:rPr/>
        <w:t xml:space="preserve">Pre-departure assistance</w:t>
      </w:r>
    </w:p>
    <w:p>
      <w:pPr/>
      <w:r>
        <w:rPr/>
        <w:t xml:space="preserve">Cultural orientation session (informing about rights, obligation, accommodation and values in Luxembourg) ahead of the selection mission.</w:t>
      </w:r>
    </w:p>
    <w:p>
      <w:pPr>
        <w:pStyle w:val="Heading2"/>
      </w:pPr>
      <w:r>
        <w:rPr/>
        <w:t xml:space="preserve">Travel arrangements</w:t>
      </w:r>
    </w:p>
    <w:p>
      <w:pPr/>
      <w:r>
        <w:rPr/>
        <w:t xml:space="preserve">Currently, Luxembourg is not implementing resettlement programmes. No operations are in place to transfer selected refugees.</w:t>
      </w:r>
    </w:p>
    <w:p>
      <w:pPr>
        <w:pStyle w:val="Heading2"/>
      </w:pPr>
      <w:r>
        <w:rPr/>
        <w:t xml:space="preserve">Arrival and reception</w:t>
      </w:r>
    </w:p>
    <w:p>
      <w:pPr/>
      <w:r>
        <w:rPr/>
        <w:t xml:space="preserve">Arrival is organized by the General Department of immigration, in cooperation with IOM, as soon as possible after the final selection took place.</w:t>
      </w:r>
    </w:p>
    <w:p>
      <w:pPr/>
      <w:r>
        <w:rPr/>
        <w:t xml:space="preserve">The ONA is the authority responsible for the reception of the resettled people, in collaboration with LISKO, a centre accompanying beneficiaries of international protection in their administrative and everyday tasks with the aim of facilitating their integration into Luxembourgish society.</w:t>
      </w:r>
    </w:p>
    <w:p>
      <w:pPr/>
      <w:r>
        <w:rPr/>
        <w:t xml:space="preserve">The resettlement unit, which includes staff from different sections within the ONA (social workers, site managers, accommodation providers) as well as a supervising team (psychologists and social workers) from the Luxembourgish Red Cross, meet weekly to discuss singular cases of accommodated persons/ families requiring transfer/relocation and decide on the structure the persons/families will be transferred.</w:t>
      </w:r>
    </w:p>
    <w:p>
      <w:pPr/>
      <w:r>
        <w:rPr/>
        <w:t xml:space="preserve">The decision where to transfer the persons/families is made considering various criteria: personal issues, health and/or availability of places in the different accommodation structures.</w:t>
      </w:r>
    </w:p>
    <w:p>
      <w:pPr/>
      <w:r>
        <w:rPr/>
        <w:t xml:space="preserve">This residence permit grants the individual the right to access the labour market (without access to the public sector), access to housing in the same conditions as legally residing third country nationals, access to healthcare in the same conditions as nationals, the right of family reunification (they have six months to apply for family reunification without complying with the conditions of adequate housing, financial support and health insurance coverage for the family member and for the applicant), and access to education. If the beneficiary is aged 25 or older, s/he can benefit of the REVIS as a financial aid.</w:t>
      </w:r>
    </w:p>
    <w:p>
      <w:pPr>
        <w:pStyle w:val="Heading2"/>
      </w:pPr>
      <w:r>
        <w:rPr/>
        <w:t xml:space="preserve">Integration support to resettled and admitted refugees</w:t>
      </w:r>
    </w:p>
    <w:p>
      <w:pPr/>
      <w:r>
        <w:rPr/>
        <w:t xml:space="preserve">Currently, Luxembourg is not implementing resettlement programmes.</w:t>
      </w:r>
    </w:p>
    <w:p>
      <w:pPr>
        <w:pStyle w:val="Heading2"/>
      </w:pPr>
      <w:r>
        <w:rPr/>
        <w:t xml:space="preserve">Resettlement programmes</w:t>
      </w:r>
    </w:p>
    <w:p>
      <w:pPr/>
      <w:r>
        <w:rPr/>
        <w:t xml:space="preserve">Resettlement programme is based on annual quotas within the framework of the European Resettlement Programme. For the period 2024-2025, Luxembourg pledge to receive 10 refugees under resettlement.</w:t>
      </w:r>
    </w:p>
    <w:p>
      <w:pPr>
        <w:pStyle w:val="Heading2"/>
      </w:pPr>
      <w:r>
        <w:rPr/>
        <w:t xml:space="preserve">Humanitarian admission programmes</w:t>
      </w:r>
    </w:p>
    <w:p>
      <w:pPr/>
      <w:r>
        <w:rPr/>
        <w:t xml:space="preserve">Luxembourg does not have any humanitarian admission programme currently in place.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Luxembourg does not have any community sponsorship programme currently in place.</w:t>
      </w:r>
    </w:p>
    <w:p>
      <w:pPr>
        <w:pStyle w:val="Heading2"/>
      </w:pPr>
      <w:r>
        <w:rPr/>
        <w:t xml:space="preserve">Community sponsorship schemes linked to civil society-led humanitarian admission programmes</w:t>
      </w:r>
    </w:p>
    <w:p>
      <w:pPr/>
      <w:r>
        <w:rPr/>
        <w:t xml:space="preserve">Luxembourg does not have any community sponsorship programme currently in place.</w:t>
      </w:r>
    </w:p>
    <w:p>
      <w:pPr>
        <w:pStyle w:val="Heading2"/>
      </w:pPr>
      <w:r>
        <w:rPr/>
        <w:t xml:space="preserve">Community sponsorship schemes linked to other complementary pathways</w:t>
      </w:r>
    </w:p>
    <w:p>
      <w:pPr/>
      <w:r>
        <w:rPr/>
        <w:t xml:space="preserve">Luxembourg does not have any community sponsorship programme currently in place.</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Resettlement and humanitarian admission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maint.gouvernement.lu/fr.html" TargetMode="External"/><Relationship Id="rId9" Type="http://schemas.openxmlformats.org/officeDocument/2006/relationships/hyperlink" Target="https://www.unhcr.org/luxembourg.html" TargetMode="External"/><Relationship Id="rId10" Type="http://schemas.openxmlformats.org/officeDocument/2006/relationships/hyperlink" Target="https://guichet.public.lu/en/organismes/organismes_citoyens/ministere-affaires-etrangeres/direction-immigration-service-refugies.html" TargetMode="External"/><Relationship Id="rId11" Type="http://schemas.openxmlformats.org/officeDocument/2006/relationships/hyperlink" Target="https://sre.gouvernement.lu/fr.html" TargetMode="External"/><Relationship Id="rId12" Type="http://schemas.openxmlformats.org/officeDocument/2006/relationships/hyperlink" Target="https://police.gouvernement.lu/en.html" TargetMode="External"/><Relationship Id="rId13" Type="http://schemas.openxmlformats.org/officeDocument/2006/relationships/hyperlink" Target="https://belgium.iom.int/iom-belgium-and-luxembourg" TargetMode="External"/><Relationship Id="rId14" Type="http://schemas.openxmlformats.org/officeDocument/2006/relationships/hyperlink" Target="https://ona.gouvernement.lu/en/service.html" TargetMode="External"/><Relationship Id="rId15" Type="http://schemas.openxmlformats.org/officeDocument/2006/relationships/hyperlink" Target="https://msan.gouvernement.lu/en.html" TargetMode="External"/><Relationship Id="rId16" Type="http://schemas.openxmlformats.org/officeDocument/2006/relationships/hyperlink" Target="https://www.croix-rouge.lu/en/" TargetMode="External"/><Relationship Id="rId17" Type="http://schemas.openxmlformats.org/officeDocument/2006/relationships/hyperlink" Target="https://www.croix-rouge.lu/en/service/lisko-centre-for-integration-and-social-cohesion/"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2026-07-16T02:47:45+00:00</dcterms:created>
  <dcterms:modified xsi:type="dcterms:W3CDTF">2026-07-16T02:47:45+00:00</dcterms:modified>
</cp:coreProperties>
</file>

<file path=docProps/custom.xml><?xml version="1.0" encoding="utf-8"?>
<Properties xmlns="http://schemas.openxmlformats.org/officeDocument/2006/custom-properties" xmlns:vt="http://schemas.openxmlformats.org/officeDocument/2006/docPropsVTypes"/>
</file>