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Hungary</w:t>
      </w:r>
    </w:p>
    <w:p>
      <w:pPr>
        <w:pStyle w:val="Heading2"/>
      </w:pPr>
      <w:r>
        <w:rPr/>
        <w:t xml:space="preserve">Resettlement and humanitarian admission - Hungary</w:t>
      </w:r>
    </w:p>
    <w:p>
      <w:pPr>
        <w:numPr>
          <w:ilvl w:val="0"/>
          <w:numId w:val="4"/>
        </w:numPr>
      </w:pPr>
      <w:hyperlink w:anchor="section-4721" w:history="1">
        <w:r>
          <w:rPr>
            <w:color w:val="0444c4"/>
            <w:u w:val="single"/>
          </w:rPr>
          <w:t xml:space="preserve">Overview</w:t>
        </w:r>
      </w:hyperlink>
    </w:p>
    <w:p>
      <w:pPr>
        <w:numPr>
          <w:ilvl w:val="0"/>
          <w:numId w:val="4"/>
        </w:numPr>
      </w:pPr>
      <w:hyperlink w:anchor="section-4722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4723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4724" w:history="1">
        <w:r>
          <w:rPr>
            <w:color w:val="0444c4"/>
            <w:u w:val="single"/>
          </w:rPr>
          <w:t xml:space="preserve">Competent authority and stakeholders</w:t>
        </w:r>
      </w:hyperlink>
    </w:p>
    <w:p>
      <w:pPr>
        <w:numPr>
          <w:ilvl w:val="0"/>
          <w:numId w:val="4"/>
        </w:numPr>
      </w:pPr>
      <w:hyperlink w:anchor="section-4726" w:history="1">
        <w:r>
          <w:rPr>
            <w:color w:val="0444c4"/>
            <w:u w:val="single"/>
          </w:rPr>
          <w:t xml:space="preserve">Programmes currently in place</w:t>
        </w:r>
      </w:hyperlink>
    </w:p>
    <w:p>
      <w:pPr>
        <w:numPr>
          <w:ilvl w:val="0"/>
          <w:numId w:val="4"/>
        </w:numPr>
      </w:pPr>
      <w:hyperlink w:anchor="section-4727" w:history="1">
        <w:r>
          <w:rPr>
            <w:color w:val="0444c4"/>
            <w:u w:val="single"/>
          </w:rPr>
          <w:t xml:space="preserve">National quotas on resettlement and humanitarian admission</w:t>
        </w:r>
      </w:hyperlink>
    </w:p>
    <w:p>
      <w:pPr>
        <w:numPr>
          <w:ilvl w:val="0"/>
          <w:numId w:val="4"/>
        </w:numPr>
      </w:pPr>
      <w:hyperlink w:anchor="section-4729" w:history="1">
        <w:r>
          <w:rPr>
            <w:color w:val="0444c4"/>
            <w:u w:val="single"/>
          </w:rPr>
          <w:t xml:space="preserve">National commitments for resettlement, humanitarian admission and emergency quota</w:t>
        </w:r>
      </w:hyperlink>
    </w:p>
    <w:p>
      <w:pPr>
        <w:numPr>
          <w:ilvl w:val="0"/>
          <w:numId w:val="4"/>
        </w:numPr>
      </w:pPr>
      <w:hyperlink w:anchor="section-4730" w:history="1">
        <w:r>
          <w:rPr>
            <w:color w:val="0444c4"/>
            <w:u w:val="single"/>
          </w:rPr>
          <w:t xml:space="preserve">Procedural and practical arrangements</w:t>
        </w:r>
      </w:hyperlink>
    </w:p>
    <w:p>
      <w:pPr>
        <w:numPr>
          <w:ilvl w:val="0"/>
          <w:numId w:val="4"/>
        </w:numPr>
      </w:pPr>
      <w:hyperlink w:anchor="section-4732" w:history="1">
        <w:r>
          <w:rPr>
            <w:color w:val="0444c4"/>
            <w:u w:val="single"/>
          </w:rPr>
          <w:t xml:space="preserve">The admission procedure</w:t>
        </w:r>
      </w:hyperlink>
    </w:p>
    <w:p>
      <w:pPr>
        <w:numPr>
          <w:ilvl w:val="0"/>
          <w:numId w:val="4"/>
        </w:numPr>
      </w:pPr>
      <w:hyperlink w:anchor="section-4735" w:history="1">
        <w:r>
          <w:rPr>
            <w:color w:val="0444c4"/>
            <w:u w:val="single"/>
          </w:rPr>
          <w:t xml:space="preserve">Type of protection granted and residence permit issued after the admission procedure</w:t>
        </w:r>
      </w:hyperlink>
    </w:p>
    <w:p>
      <w:pPr>
        <w:numPr>
          <w:ilvl w:val="0"/>
          <w:numId w:val="4"/>
        </w:numPr>
      </w:pPr>
      <w:hyperlink w:anchor="section-4736" w:history="1">
        <w:r>
          <w:rPr>
            <w:color w:val="0444c4"/>
            <w:u w:val="single"/>
          </w:rPr>
          <w:t xml:space="preserve">Pre-departure assistance</w:t>
        </w:r>
      </w:hyperlink>
    </w:p>
    <w:p>
      <w:pPr>
        <w:numPr>
          <w:ilvl w:val="0"/>
          <w:numId w:val="4"/>
        </w:numPr>
      </w:pPr>
      <w:hyperlink w:anchor="section-4737" w:history="1">
        <w:r>
          <w:rPr>
            <w:color w:val="0444c4"/>
            <w:u w:val="single"/>
          </w:rPr>
          <w:t xml:space="preserve">Travel arrangements</w:t>
        </w:r>
      </w:hyperlink>
    </w:p>
    <w:p>
      <w:pPr>
        <w:numPr>
          <w:ilvl w:val="0"/>
          <w:numId w:val="4"/>
        </w:numPr>
      </w:pPr>
      <w:hyperlink w:anchor="section-4738" w:history="1">
        <w:r>
          <w:rPr>
            <w:color w:val="0444c4"/>
            <w:u w:val="single"/>
          </w:rPr>
          <w:t xml:space="preserve">Arrival and reception</w:t>
        </w:r>
      </w:hyperlink>
    </w:p>
    <w:p>
      <w:pPr>
        <w:numPr>
          <w:ilvl w:val="0"/>
          <w:numId w:val="4"/>
        </w:numPr>
      </w:pPr>
      <w:hyperlink w:anchor="section-4739" w:history="1">
        <w:r>
          <w:rPr>
            <w:color w:val="0444c4"/>
            <w:u w:val="single"/>
          </w:rPr>
          <w:t xml:space="preserve">Integration support to resettled and admitted refugees</w:t>
        </w:r>
      </w:hyperlink>
    </w:p>
    <w:p>
      <w:pPr>
        <w:numPr>
          <w:ilvl w:val="0"/>
          <w:numId w:val="4"/>
        </w:numPr>
      </w:pPr>
      <w:hyperlink w:anchor="section-4741" w:history="1">
        <w:r>
          <w:rPr>
            <w:color w:val="0444c4"/>
            <w:u w:val="single"/>
          </w:rPr>
          <w:t xml:space="preserve">Resettlement programmes</w:t>
        </w:r>
      </w:hyperlink>
    </w:p>
    <w:p>
      <w:pPr>
        <w:numPr>
          <w:ilvl w:val="0"/>
          <w:numId w:val="4"/>
        </w:numPr>
      </w:pPr>
      <w:hyperlink w:anchor="section-4743" w:history="1">
        <w:r>
          <w:rPr>
            <w:color w:val="0444c4"/>
            <w:u w:val="single"/>
          </w:rPr>
          <w:t xml:space="preserve">Humanitarian admission programmes</w:t>
        </w:r>
      </w:hyperlink>
    </w:p>
    <w:p>
      <w:pPr>
        <w:numPr>
          <w:ilvl w:val="0"/>
          <w:numId w:val="4"/>
        </w:numPr>
      </w:pPr>
      <w:hyperlink w:anchor="section-4746" w:history="1">
        <w:r>
          <w:rPr>
            <w:color w:val="0444c4"/>
            <w:u w:val="single"/>
          </w:rPr>
          <w:t xml:space="preserve">Complementary pathways</w:t>
        </w:r>
      </w:hyperlink>
    </w:p>
    <w:p>
      <w:pPr>
        <w:numPr>
          <w:ilvl w:val="0"/>
          <w:numId w:val="4"/>
        </w:numPr>
      </w:pPr>
      <w:hyperlink w:anchor="section-4747" w:history="1">
        <w:r>
          <w:rPr>
            <w:color w:val="0444c4"/>
            <w:u w:val="single"/>
          </w:rPr>
          <w:t xml:space="preserve">Community sponsorship schemes related to state-led resettlement programmes</w:t>
        </w:r>
      </w:hyperlink>
    </w:p>
    <w:p>
      <w:pPr>
        <w:numPr>
          <w:ilvl w:val="0"/>
          <w:numId w:val="4"/>
        </w:numPr>
      </w:pPr>
      <w:hyperlink w:anchor="section-4749" w:history="1">
        <w:r>
          <w:rPr>
            <w:color w:val="0444c4"/>
            <w:u w:val="single"/>
          </w:rPr>
          <w:t xml:space="preserve">Community sponsorship schemes linked to civil society-led humanitarian admission programmes</w:t>
        </w:r>
      </w:hyperlink>
    </w:p>
    <w:p>
      <w:pPr>
        <w:numPr>
          <w:ilvl w:val="0"/>
          <w:numId w:val="4"/>
        </w:numPr>
      </w:pPr>
      <w:hyperlink w:anchor="section-4751" w:history="1">
        <w:r>
          <w:rPr>
            <w:color w:val="0444c4"/>
            <w:u w:val="single"/>
          </w:rPr>
          <w:t xml:space="preserve">Community sponsorship schemes linked to other complementary pathways</w:t>
        </w:r>
      </w:hyperlink>
    </w:p>
    <w:p>
      <w:pPr>
        <w:pStyle w:val="Heading1"/>
      </w:pPr>
      <w:r>
        <w:rPr/>
        <w:t xml:space="preserve">Resettlement and humanitarian admission - Hungary</w:t>
      </w:r>
    </w:p>
    <w:p>
      <w:pPr>
        <w:pStyle w:val="Heading2"/>
      </w:pPr>
      <w:r>
        <w:rPr/>
        <w:t xml:space="preserve">Overview</w:t>
      </w:r>
    </w:p>
    <w:p>
      <w:pPr/>
      <w:r>
        <w:rPr/>
        <w:t xml:space="preserve">Content updated and validated on: 5/09/2025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Hungary is bound by the Union Resettlement and Humanitarian Admission Framework Regulation (URF).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Hungarian legislation does not have specific references to resettlement. Hungary currently does not implement resettlement and humanitarian admission programmes.</w:t>
      </w:r>
    </w:p>
    <w:p>
      <w:pPr>
        <w:pStyle w:val="Heading2"/>
      </w:pPr>
      <w:r>
        <w:rPr/>
        <w:t xml:space="preserve">Competent authority and stakeholders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Authorities responsible for establishing resettlement and humanitarian admission policy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Hungary currently does not implement resettlement and humanitarian admission programmes.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Identification and referral of refugees for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Hungary currently does not implement resettlement and humanitarian admission programmes.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Selection of refugees for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Hungary currently does not implement resettlement and humanitarian admission programmes.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Pre-departure assistance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Hungary currently does not implement resettlement and humanitarian admission programmes.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Travel arrangements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Hungary currently does not implement resettlement and humanitarian admission programmes.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Arrival and reception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Hungary currently does not implement resettlement and humanitarian admission programmes.</w:t>
            </w:r>
          </w:p>
        </w:tc>
      </w:tr>
    </w:tbl>
    <w:p>
      <w:pPr>
        <w:pStyle w:val="Heading2"/>
      </w:pPr>
      <w:r>
        <w:rPr/>
        <w:t xml:space="preserve">Programmes currently in place</w:t>
      </w:r>
    </w:p>
    <w:p>
      <w:pPr/>
      <w:r>
        <w:rPr/>
        <w:t xml:space="preserve">Hungary currently does not implement resettlement and humanitarian admission programmes.</w:t>
      </w:r>
    </w:p>
    <w:p>
      <w:pPr>
        <w:pStyle w:val="Heading2"/>
      </w:pPr>
      <w:r>
        <w:rPr/>
        <w:t xml:space="preserve">National quotas on resettlement and humanitarian admission</w:t>
      </w:r>
    </w:p>
    <w:p>
      <w:pPr>
        <w:pStyle w:val="Heading2"/>
      </w:pPr>
      <w:r>
        <w:rPr/>
        <w:t xml:space="preserve">National commitments for resettlement, humanitarian admission and emergency quota</w:t>
      </w:r>
    </w:p>
    <w:tbl>
      <w:tblGrid>
        <w:gridCol/>
        <w:gridCol/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2268" w:type="dxa"/>
            <w:noWrap/>
          </w:tcPr>
          <w:p>
            <w:pPr/>
            <w:r>
              <w:rPr/>
              <w:t xml:space="preserve">2-year Union Plan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National commitment for resettlement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National commitment for humanitarian admissions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Emergency quota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2024-2025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2026-2027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2028-2029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</w:tbl>
    <w:p>
      <w:pPr>
        <w:pStyle w:val="Heading2"/>
      </w:pPr>
      <w:r>
        <w:rPr/>
        <w:t xml:space="preserve">Procedural and practical arrangements</w:t>
      </w:r>
    </w:p>
    <w:p>
      <w:pPr/>
      <w:r>
        <w:rPr/>
        <w:t xml:space="preserve">Hungary currently does not implement resettlement and humanitarian admission programmes.</w:t>
      </w:r>
    </w:p>
    <w:p>
      <w:pPr>
        <w:pStyle w:val="Heading2"/>
      </w:pPr>
      <w:r>
        <w:rPr/>
        <w:t xml:space="preserve">The admission procedure</w:t>
      </w:r>
    </w:p>
    <w:p>
      <w:pPr/>
      <w:r>
        <w:rPr/>
        <w:t xml:space="preserve">Hungary currently does not implement resettlement and humanitarian admission programmes.</w:t>
      </w:r>
    </w:p>
    <w:p>
      <w:pPr>
        <w:pStyle w:val="Heading2"/>
      </w:pPr>
      <w:r>
        <w:rPr/>
        <w:t xml:space="preserve">Type of protection granted and residence permit issued after the admission procedure</w:t>
      </w:r>
    </w:p>
    <w:p>
      <w:pPr/>
      <w:r>
        <w:rPr/>
        <w:t xml:space="preserve">Hungary currently does not implement resettlement and humanitarian admission programmes.</w:t>
      </w:r>
    </w:p>
    <w:p>
      <w:pPr>
        <w:pStyle w:val="Heading2"/>
      </w:pPr>
      <w:r>
        <w:rPr/>
        <w:t xml:space="preserve">Pre-departure assistance</w:t>
      </w:r>
    </w:p>
    <w:p>
      <w:pPr/>
      <w:r>
        <w:rPr/>
        <w:t xml:space="preserve">Hungary currently does not implement resettlement and humanitarian admission programmes.</w:t>
      </w:r>
    </w:p>
    <w:p>
      <w:pPr>
        <w:pStyle w:val="Heading2"/>
      </w:pPr>
      <w:r>
        <w:rPr/>
        <w:t xml:space="preserve">Travel arrangements</w:t>
      </w:r>
    </w:p>
    <w:p>
      <w:pPr/>
      <w:r>
        <w:rPr/>
        <w:t xml:space="preserve">Hungary currently does not implement resettlement and humanitarian admission programmes.</w:t>
      </w:r>
    </w:p>
    <w:p>
      <w:pPr>
        <w:pStyle w:val="Heading2"/>
      </w:pPr>
      <w:r>
        <w:rPr/>
        <w:t xml:space="preserve">Arrival and reception</w:t>
      </w:r>
    </w:p>
    <w:p>
      <w:pPr/>
      <w:r>
        <w:rPr/>
        <w:t xml:space="preserve">Hungary currently does not implement resettlement and humanitarian admission programmes.</w:t>
      </w:r>
    </w:p>
    <w:p>
      <w:pPr>
        <w:pStyle w:val="Heading2"/>
      </w:pPr>
      <w:r>
        <w:rPr/>
        <w:t xml:space="preserve">Integration support to resettled and admitted refugees</w:t>
      </w:r>
    </w:p>
    <w:p>
      <w:pPr/>
      <w:r>
        <w:rPr/>
        <w:t xml:space="preserve">Hungary currently does not implement resettlement and humanitarian admission programmes.</w:t>
      </w:r>
    </w:p>
    <w:p>
      <w:pPr>
        <w:pStyle w:val="Heading2"/>
      </w:pPr>
      <w:r>
        <w:rPr/>
        <w:t xml:space="preserve">Resettlement programmes</w:t>
      </w:r>
    </w:p>
    <w:p>
      <w:pPr/>
      <w:r>
        <w:rPr/>
        <w:t xml:space="preserve">Hungary currently does not implement resettlement and humanitarian admission programmes.</w:t>
      </w:r>
    </w:p>
    <w:p>
      <w:pPr>
        <w:pStyle w:val="Heading2"/>
      </w:pPr>
      <w:r>
        <w:rPr/>
        <w:t xml:space="preserve">Humanitarian admission programmes</w:t>
      </w:r>
    </w:p>
    <w:p>
      <w:pPr/>
      <w:r>
        <w:rPr/>
        <w:t xml:space="preserve">Hungary currently does not implement resettlement and humanitarian admission programmes.</w:t>
      </w:r>
    </w:p>
    <w:p>
      <w:pPr>
        <w:pStyle w:val="Heading2"/>
      </w:pPr>
      <w:r>
        <w:rPr/>
        <w:t xml:space="preserve">Complementary pathways</w:t>
      </w:r>
    </w:p>
    <w:p>
      <w:pPr>
        <w:pStyle w:val="Heading2"/>
      </w:pPr>
      <w:r>
        <w:rPr/>
        <w:t xml:space="preserve">Community sponsorship schemes related to state-led resettlement programmes</w:t>
      </w:r>
    </w:p>
    <w:p>
      <w:pPr/>
      <w:r>
        <w:rPr/>
        <w:t xml:space="preserve">Hungary currently does not implement resettlement and humanitarian admission programmes.</w:t>
      </w:r>
    </w:p>
    <w:p>
      <w:pPr>
        <w:pStyle w:val="Heading2"/>
      </w:pPr>
      <w:r>
        <w:rPr/>
        <w:t xml:space="preserve">Community sponsorship schemes linked to civil society-led humanitarian admission programmes</w:t>
      </w:r>
    </w:p>
    <w:p>
      <w:pPr/>
      <w:r>
        <w:rPr/>
        <w:t xml:space="preserve">Hungary currently does not implement resettlement and humanitarian admission programmes.</w:t>
      </w:r>
    </w:p>
    <w:p>
      <w:pPr>
        <w:pStyle w:val="Heading2"/>
      </w:pPr>
      <w:r>
        <w:rPr/>
        <w:t xml:space="preserve">Community sponsorship schemes linked to other complementary pathways</w:t>
      </w:r>
    </w:p>
    <w:p>
      <w:pPr/>
      <w:r>
        <w:rPr/>
        <w:t xml:space="preserve">Hungary currently does not implement resettlement and humanitarian admission programmes.</w:t>
      </w:r>
    </w:p>
    <w:sectPr>
      <w:headerReference w:type="default" r:id="rId27"/>
      <w:footerReference w:type="default" r:id="rId2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Resettlement and humanitarian admission - Hungary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has been validated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2B13D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4721" TargetMode="External"/><Relationship Id="rId8" Type="http://schemas.openxmlformats.org/officeDocument/2006/relationships/hyperlink" Target="section-4722" TargetMode="External"/><Relationship Id="rId9" Type="http://schemas.openxmlformats.org/officeDocument/2006/relationships/hyperlink" Target="section-4723" TargetMode="External"/><Relationship Id="rId10" Type="http://schemas.openxmlformats.org/officeDocument/2006/relationships/hyperlink" Target="section-4724" TargetMode="External"/><Relationship Id="rId11" Type="http://schemas.openxmlformats.org/officeDocument/2006/relationships/hyperlink" Target="section-4726" TargetMode="External"/><Relationship Id="rId12" Type="http://schemas.openxmlformats.org/officeDocument/2006/relationships/hyperlink" Target="section-4727" TargetMode="External"/><Relationship Id="rId13" Type="http://schemas.openxmlformats.org/officeDocument/2006/relationships/hyperlink" Target="section-4729" TargetMode="External"/><Relationship Id="rId14" Type="http://schemas.openxmlformats.org/officeDocument/2006/relationships/hyperlink" Target="section-4730" TargetMode="External"/><Relationship Id="rId15" Type="http://schemas.openxmlformats.org/officeDocument/2006/relationships/hyperlink" Target="section-4732" TargetMode="External"/><Relationship Id="rId16" Type="http://schemas.openxmlformats.org/officeDocument/2006/relationships/hyperlink" Target="section-4735" TargetMode="External"/><Relationship Id="rId17" Type="http://schemas.openxmlformats.org/officeDocument/2006/relationships/hyperlink" Target="section-4736" TargetMode="External"/><Relationship Id="rId18" Type="http://schemas.openxmlformats.org/officeDocument/2006/relationships/hyperlink" Target="section-4737" TargetMode="External"/><Relationship Id="rId19" Type="http://schemas.openxmlformats.org/officeDocument/2006/relationships/hyperlink" Target="section-4738" TargetMode="External"/><Relationship Id="rId20" Type="http://schemas.openxmlformats.org/officeDocument/2006/relationships/hyperlink" Target="section-4739" TargetMode="External"/><Relationship Id="rId21" Type="http://schemas.openxmlformats.org/officeDocument/2006/relationships/hyperlink" Target="section-4741" TargetMode="External"/><Relationship Id="rId22" Type="http://schemas.openxmlformats.org/officeDocument/2006/relationships/hyperlink" Target="section-4743" TargetMode="External"/><Relationship Id="rId23" Type="http://schemas.openxmlformats.org/officeDocument/2006/relationships/hyperlink" Target="section-4746" TargetMode="External"/><Relationship Id="rId24" Type="http://schemas.openxmlformats.org/officeDocument/2006/relationships/hyperlink" Target="section-4747" TargetMode="External"/><Relationship Id="rId25" Type="http://schemas.openxmlformats.org/officeDocument/2006/relationships/hyperlink" Target="section-4749" TargetMode="External"/><Relationship Id="rId26" Type="http://schemas.openxmlformats.org/officeDocument/2006/relationships/hyperlink" Target="section-4751" TargetMode="External"/><Relationship Id="rId27" Type="http://schemas.openxmlformats.org/officeDocument/2006/relationships/header" Target="header1.xml"/><Relationship Id="rId2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2026-10-14T22:36:15+00:00</dcterms:created>
  <dcterms:modified xsi:type="dcterms:W3CDTF">2026-10-14T22:36:15+00:00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