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Resettlement and humanitarian admission - Hungary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Hungary is bound by the Union Resettlement and Humanitarian Admission Framework Regulation (URF).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Hungarian legislation does not have specific references to resettlement. Hungary currently does not implement resettlement and humanitarian admission programmes.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Hungary currently does not implement resettlement and humanitarian admission programmes.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National quotas on resettlement and humanitarian admission</w:t>
      </w:r>
    </w:p>
    <w:p>
      <w:pPr>
        <w:pStyle w:val="Heading2"/>
      </w:pPr>
      <w:r>
        <w:rPr/>
        <w:t xml:space="preserve">National commitments for resettlement, humanitarian admission and emergency quota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Complementary pathways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Hungary currently does not implement resettlement and humanitarian admission programmes.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Hungary currently does not implement resettlement and humanitarian admission programmes.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Resettlement and humanitarian admission - Hungary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2026-05-31T03:35:42+00:00</dcterms:created>
  <dcterms:modified xsi:type="dcterms:W3CDTF">2026-05-31T03:35:42+00:00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