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Resettlement and humanitarian admission - Estonia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Estonia is bound by the Union Resettlement and Humanitarian Admission Framework Regulation (URF)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Resettlement is governed by Section 5</w:t>
      </w:r>
      <w:r>
        <w:rPr>
          <w:vertAlign w:val="superscript"/>
        </w:rPr>
        <w:t xml:space="preserve">1</w:t>
      </w:r>
      <w:r>
        <w:rPr/>
        <w:t xml:space="preserve"> of the Act on Granting International Protection to Aliens (AGIPA) | </w:t>
      </w:r>
      <w:hyperlink r:id="rId7" w:history="1">
        <w:r>
          <w:rPr>
            <w:color w:val="0444c4"/>
            <w:u w:val="single"/>
          </w:rPr>
          <w:t xml:space="preserve">Välismaalasele rahvusvahelise kaitse andmise seadus.</w:t>
        </w:r>
      </w:hyperlink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Authorities responsible for establishing resettlement and humanitarian admission policy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Estonian Government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Identification and referral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Selection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Pre-departure assistance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Travel arrangements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Arrival and reception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Programmes currently in place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National quotas on resettlement and humanitarian admission</w:t>
      </w:r>
    </w:p>
    <w:p>
      <w:pPr>
        <w:pStyle w:val="Heading2"/>
      </w:pPr>
      <w:r>
        <w:rPr/>
        <w:t xml:space="preserve">National commitments for resettlement, humanitarian admission and emergency quota</w:t>
      </w:r>
    </w:p>
    <w:p>
      <w:pPr/>
      <w:r>
        <w:rPr/>
        <w:t xml:space="preserve"> </w:t>
      </w:r>
    </w:p>
    <w:tbl>
      <w:tblGrid>
        <w:gridCol/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268" w:type="dxa"/>
            <w:noWrap/>
          </w:tcPr>
          <w:p>
            <w:pPr/>
            <w:r>
              <w:rPr/>
              <w:t xml:space="preserve">2-year Union Plan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resettlement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humanitarian admissions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Emergency quota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2024-2025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2026-2027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2028-2029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Procedural and practical arrangements</w:t>
      </w:r>
    </w:p>
    <w:p>
      <w:pPr>
        <w:pStyle w:val="Heading2"/>
      </w:pPr>
      <w:r>
        <w:rPr/>
        <w:t xml:space="preserve">The admission procedure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Type of protection granted and residence permit issued after the admission procedure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Pre-departure assistance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Travel arrangements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Arrival and reception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Integration support to resettled and admitted refugees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Resettlement programmes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Humanitarian admission programmes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Complementary pathways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Community sponsorship schemes related to state-led resettlement programmes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Community sponsorship schemes linked to civil society-led humanitarian admission programmes</w:t>
      </w:r>
    </w:p>
    <w:p>
      <w:pPr/>
      <w:r>
        <w:rPr/>
        <w:t xml:space="preserve">Resettlement or humanitarian admission programmes are currently not in place.</w:t>
      </w:r>
    </w:p>
    <w:p>
      <w:pPr>
        <w:pStyle w:val="Heading2"/>
      </w:pPr>
      <w:r>
        <w:rPr/>
        <w:t xml:space="preserve">Community sponsorship schemes linked to other complementary pathways</w:t>
      </w:r>
    </w:p>
    <w:p>
      <w:pPr/>
      <w:r>
        <w:rPr/>
        <w:t xml:space="preserve">Resettlement or humanitarian admission programmes are currently not in place.</w:t>
      </w:r>
    </w:p>
    <w:sectPr>
      <w:headerReference w:type="default" r:id="rId8"/>
      <w:footerReference w:type="default" r:id="rId9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Resettlement and humanitarian admission - Estonia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has been validated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iigiteataja.ee/en/eli/516012024004/consolid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2026-08-28T12:02:37+00:00</dcterms:created>
  <dcterms:modified xsi:type="dcterms:W3CDTF">2026-08-28T12:02:37+00:00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