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Resettlement and humanitarian admission - Cyprus</w:t>
      </w:r>
    </w:p>
    <w:p>
      <w:pPr>
        <w:pStyle w:val="Heading2"/>
      </w:pPr>
      <w:r>
        <w:rPr/>
        <w:t xml:space="preserve">Overview</w:t>
      </w:r>
    </w:p>
    <w:p>
      <w:pPr/>
      <w:r>
        <w:rPr/>
        <w:t xml:space="preserve">Content updated and validated on: 15/07/2025</w:t>
      </w:r>
    </w:p>
    <w:p>
      <w:pPr>
        <w:pStyle w:val="Heading2"/>
      </w:pPr>
      <w:r>
        <w:rPr/>
        <w:t xml:space="preserve">Relevant EU legislation</w:t>
      </w:r>
    </w:p>
    <w:p>
      <w:pPr/>
      <w:r>
        <w:rPr/>
        <w:t xml:space="preserve">Information is currently not available.</w:t>
      </w:r>
    </w:p>
    <w:p>
      <w:pPr>
        <w:pStyle w:val="Heading2"/>
      </w:pPr>
      <w:r>
        <w:rPr/>
        <w:t xml:space="preserve">National legislation</w:t>
      </w:r>
    </w:p>
    <w:p>
      <w:pPr/>
      <w:r>
        <w:rPr/>
        <w:t xml:space="preserve">Information is currently not available.</w:t>
      </w:r>
    </w:p>
    <w:p>
      <w:pPr>
        <w:pStyle w:val="Heading2"/>
      </w:pPr>
      <w:r>
        <w:rPr/>
        <w:t xml:space="preserve">Competent authority and stakeholders</w:t>
      </w:r>
    </w:p>
    <w:tbl>
      <w:tblGrid>
        <w:gridCol/>
        <w:gridCol/>
      </w:tblGrid>
      <w:tblPr>
        <w:tblW w:w="9072" w:type="dxa"/>
        <w:tblLayout w:type="autofit"/>
        <w:tblCellMar>
          <w:top w:w="80" w:type="dxa"/>
          <w:left w:w="115" w:type="dxa"/>
          <w:right w:w="115" w:type="dxa"/>
          <w:bottom w:w="80" w:type="dxa"/>
        </w:tblCellMar>
        <w:tblBorders>
          <w:top w:val="single" w:sz="4" w:color="000000"/>
          <w:left w:val="single" w:sz="4" w:color="000000"/>
          <w:right w:val="single" w:sz="4" w:color="000000"/>
          <w:bottom w:val="single" w:sz="4" w:color="000000"/>
          <w:insideH w:val="single" w:sz="4" w:color="000000"/>
          <w:insideV w:val="single" w:sz="4" w:color="000000"/>
        </w:tblBorders>
      </w:tblPr>
      <w:tr>
        <w:trPr/>
        <w:tc>
          <w:tcPr>
            <w:tcW w:w="2994" w:type="dxa"/>
            <w:noWrap/>
          </w:tcPr>
          <w:p>
            <w:pPr/>
            <w:r>
              <w:rPr/>
              <w:t xml:space="preserve">Authorities responsible for establishing resettlement and humanitarian admission policy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Information is currently not available.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Identification and referral of refugees for a) resettlement programmes b) humanitarian admission programmes c) community sponsorship programmes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Information is currently not available.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Selection of refugees for a) resettlement programmes b) humanitarian admission programmes c) community sponsorship programmes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Information is currently not available.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Pre-departure assistance a) resettlement programmes b) humanitarian admission programmes c) community sponsorship programmes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Information is currently not available.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Travel arrangements a) resettlement programmes b) humanitarian admission programmes c) community sponsorship programmes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Information is currently not available.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Arrival and reception a) resettlement programmes b) humanitarian admission programmes c) community sponsorship programmes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Information is currently not available.</w:t>
            </w:r>
          </w:p>
        </w:tc>
      </w:tr>
    </w:tbl>
    <w:p>
      <w:pPr>
        <w:pStyle w:val="Heading2"/>
      </w:pPr>
      <w:r>
        <w:rPr/>
        <w:t xml:space="preserve">Programmes currently in place</w:t>
      </w:r>
    </w:p>
    <w:p>
      <w:pPr/>
      <w:r>
        <w:rPr/>
        <w:t xml:space="preserve">n/a</w:t>
      </w:r>
    </w:p>
    <w:p>
      <w:pPr>
        <w:pStyle w:val="Heading2"/>
      </w:pPr>
      <w:r>
        <w:rPr/>
        <w:t xml:space="preserve">National quotas on resettlement and humanitarian admission</w:t>
      </w:r>
    </w:p>
    <w:p>
      <w:pPr>
        <w:pStyle w:val="Heading2"/>
      </w:pPr>
      <w:r>
        <w:rPr/>
        <w:t xml:space="preserve">National commitments for resettlement, humanitarian admission and emergency quota</w:t>
      </w:r>
    </w:p>
    <w:p>
      <w:pPr/>
      <w:r>
        <w:rPr/>
        <w:t xml:space="preserve"> </w:t>
      </w:r>
    </w:p>
    <w:tbl>
      <w:tblGrid>
        <w:gridCol/>
        <w:gridCol/>
        <w:gridCol/>
        <w:gridCol/>
      </w:tblGrid>
      <w:tblPr>
        <w:tblW w:w="9072" w:type="dxa"/>
        <w:tblLayout w:type="autofit"/>
        <w:tblCellMar>
          <w:top w:w="80" w:type="dxa"/>
          <w:left w:w="115" w:type="dxa"/>
          <w:right w:w="115" w:type="dxa"/>
          <w:bottom w:w="80" w:type="dxa"/>
        </w:tblCellMar>
        <w:tblBorders>
          <w:top w:val="single" w:sz="4" w:color="000000"/>
          <w:left w:val="single" w:sz="4" w:color="000000"/>
          <w:right w:val="single" w:sz="4" w:color="000000"/>
          <w:bottom w:val="single" w:sz="4" w:color="000000"/>
          <w:insideH w:val="single" w:sz="4" w:color="000000"/>
          <w:insideV w:val="single" w:sz="4" w:color="000000"/>
        </w:tblBorders>
      </w:tblPr>
      <w:tr>
        <w:trPr>
          <w:tblHeader w:val="1"/>
        </w:trPr>
        <w:tc>
          <w:tcPr>
            <w:tcW w:w="2268" w:type="dxa"/>
            <w:noWrap/>
          </w:tcPr>
          <w:p>
            <w:pPr/>
            <w:r>
              <w:rPr/>
              <w:t xml:space="preserve">2-year Union Plan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National commitment for resettlement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National commitment for humanitarian admissions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Emergency quota</w:t>
            </w:r>
          </w:p>
        </w:tc>
      </w:tr>
      <w:tr>
        <w:trPr/>
        <w:tc>
          <w:tcPr>
            <w:tcW w:w="2268" w:type="dxa"/>
            <w:noWrap/>
          </w:tcPr>
          <w:p>
            <w:pPr/>
            <w:r>
              <w:rPr/>
              <w:t xml:space="preserve">Period 2024-2025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</w:tr>
      <w:tr>
        <w:trPr/>
        <w:tc>
          <w:tcPr>
            <w:tcW w:w="2268" w:type="dxa"/>
            <w:noWrap/>
          </w:tcPr>
          <w:p>
            <w:pPr/>
            <w:r>
              <w:rPr/>
              <w:t xml:space="preserve">Period 2026-2027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</w:tr>
      <w:tr>
        <w:trPr/>
        <w:tc>
          <w:tcPr>
            <w:tcW w:w="2268" w:type="dxa"/>
            <w:noWrap/>
          </w:tcPr>
          <w:p>
            <w:pPr/>
            <w:r>
              <w:rPr/>
              <w:t xml:space="preserve">Period 2028-2029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</w:tr>
    </w:tbl>
    <w:p>
      <w:pPr>
        <w:pStyle w:val="Heading2"/>
      </w:pPr>
      <w:r>
        <w:rPr/>
        <w:t xml:space="preserve">Procedural and practical arrangements</w:t>
      </w:r>
    </w:p>
    <w:p>
      <w:pPr>
        <w:pStyle w:val="Heading2"/>
      </w:pPr>
      <w:r>
        <w:rPr/>
        <w:t xml:space="preserve">The admission procedure</w:t>
      </w:r>
    </w:p>
    <w:p>
      <w:pPr/>
      <w:r>
        <w:rPr/>
        <w:t xml:space="preserve">n/a</w:t>
      </w:r>
    </w:p>
    <w:p>
      <w:pPr>
        <w:pStyle w:val="Heading2"/>
      </w:pPr>
      <w:r>
        <w:rPr/>
        <w:t xml:space="preserve">Type of protection granted and residence permit issued after the admission procedure</w:t>
      </w:r>
    </w:p>
    <w:p>
      <w:pPr/>
      <w:r>
        <w:rPr/>
        <w:t xml:space="preserve">n/a</w:t>
      </w:r>
    </w:p>
    <w:p>
      <w:pPr>
        <w:pStyle w:val="Heading2"/>
      </w:pPr>
      <w:r>
        <w:rPr/>
        <w:t xml:space="preserve">Pre-departure assistance</w:t>
      </w:r>
    </w:p>
    <w:p>
      <w:pPr/>
      <w:r>
        <w:rPr/>
        <w:t xml:space="preserve">n/a</w:t>
      </w:r>
    </w:p>
    <w:p>
      <w:pPr>
        <w:pStyle w:val="Heading2"/>
      </w:pPr>
      <w:r>
        <w:rPr/>
        <w:t xml:space="preserve">Travel arrangements</w:t>
      </w:r>
    </w:p>
    <w:p>
      <w:pPr/>
      <w:r>
        <w:rPr/>
        <w:t xml:space="preserve">n/a</w:t>
      </w:r>
    </w:p>
    <w:p>
      <w:pPr>
        <w:pStyle w:val="Heading2"/>
      </w:pPr>
      <w:r>
        <w:rPr/>
        <w:t xml:space="preserve">Arrival and reception</w:t>
      </w:r>
    </w:p>
    <w:p>
      <w:pPr/>
      <w:r>
        <w:rPr/>
        <w:t xml:space="preserve">n/a</w:t>
      </w:r>
    </w:p>
    <w:p>
      <w:pPr>
        <w:pStyle w:val="Heading2"/>
      </w:pPr>
      <w:r>
        <w:rPr/>
        <w:t xml:space="preserve">Integration support to resettled and admitted refugees</w:t>
      </w:r>
    </w:p>
    <w:p>
      <w:pPr/>
      <w:r>
        <w:rPr/>
        <w:t xml:space="preserve">n/a</w:t>
      </w:r>
    </w:p>
    <w:p>
      <w:pPr>
        <w:pStyle w:val="Heading2"/>
      </w:pPr>
      <w:r>
        <w:rPr/>
        <w:t xml:space="preserve">Resettlement programmes</w:t>
      </w:r>
    </w:p>
    <w:p>
      <w:pPr/>
      <w:r>
        <w:rPr/>
        <w:t xml:space="preserve">n/a</w:t>
      </w:r>
    </w:p>
    <w:p>
      <w:pPr>
        <w:pStyle w:val="Heading2"/>
      </w:pPr>
      <w:r>
        <w:rPr/>
        <w:t xml:space="preserve">Humanitarian admission programmes</w:t>
      </w:r>
    </w:p>
    <w:p>
      <w:pPr/>
      <w:r>
        <w:rPr/>
        <w:t xml:space="preserve">n/a</w:t>
      </w:r>
    </w:p>
    <w:p>
      <w:pPr>
        <w:pStyle w:val="Heading2"/>
      </w:pPr>
      <w:r>
        <w:rPr/>
        <w:t xml:space="preserve">Complementary pathways</w:t>
      </w:r>
    </w:p>
    <w:p>
      <w:pPr>
        <w:pStyle w:val="Heading2"/>
      </w:pPr>
      <w:r>
        <w:rPr/>
        <w:t xml:space="preserve">Community sponsorship schemes related to state-led resettlement programmes</w:t>
      </w:r>
    </w:p>
    <w:p>
      <w:pPr/>
      <w:r>
        <w:rPr/>
        <w:t xml:space="preserve">n/a</w:t>
      </w:r>
    </w:p>
    <w:p>
      <w:pPr>
        <w:pStyle w:val="Heading2"/>
      </w:pPr>
      <w:r>
        <w:rPr/>
        <w:t xml:space="preserve">Community sponsorship schemes linked to civil society-led humanitarian admission programmes</w:t>
      </w:r>
    </w:p>
    <w:p>
      <w:pPr/>
      <w:r>
        <w:rPr/>
        <w:t xml:space="preserve">n/a</w:t>
      </w:r>
    </w:p>
    <w:p>
      <w:pPr>
        <w:pStyle w:val="Heading2"/>
      </w:pPr>
      <w:r>
        <w:rPr/>
        <w:t xml:space="preserve">Community sponsorship schemes linked to other complementary pathways</w:t>
      </w:r>
    </w:p>
    <w:p>
      <w:pPr/>
      <w:r>
        <w:rPr/>
        <w:t xml:space="preserve">n/a</w:t>
      </w:r>
    </w:p>
    <w:sectPr>
      <w:headerReference w:type="default" r:id="rId7"/>
      <w:footerReference w:type="default" r:id="rId8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p>
    <w:pPr>
      <w:spacing w:before="0" w:after="0"/>
    </w:pPr>
    <w:r>
      <w:rPr>
        <w:sz w:val="16"/>
        <w:szCs w:val="16"/>
      </w:rPr>
      <w:t xml:space="preserve">Resettlement and humanitarian admission - Cyprus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>The information has been validated</w:t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2026-10-15T06:07:25+00:00</dcterms:created>
  <dcterms:modified xsi:type="dcterms:W3CDTF">2026-10-15T06:07:25+00:00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