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State Agency for Refugees publishes report on international protection zzzzzz</w:t>
        </w:r>
      </w:hyperlink>
    </w:p>
    <w:p>
      <w:pPr/>
      <w:hyperlink r:id="rId8" w:history="1">
        <w:r>
          <w:rPr>
            <w:color w:val="var(--word-link)"/>
          </w:rPr>
          <w:t xml:space="preserve"> Go back to timeline</w:t>
        </w:r>
      </w:hyperlink>
    </w:p>
    <w:p>
      <w:pPr/>
      <w:r>
        <w:rPr/>
        <w:t xml:space="preserve">The State Agency for Refugees published a report on the current situation in Bulgaria on the procedure for international protection.</w:t>
      </w:r>
    </w:p>
    <w:p>
      <w:pPr/>
      <w:r>
        <w:rPr/>
        <w:t xml:space="preserve">The report includes information on:</w:t>
      </w:r>
    </w:p>
    <w:p>
      <w:pPr>
        <w:numPr>
          <w:ilvl w:val="0"/>
          <w:numId w:val="4"/>
        </w:numPr>
      </w:pPr>
      <w:r>
        <w:rPr/>
        <w:t xml:space="preserve">statistics on applications for international protection;</w:t>
      </w:r>
    </w:p>
    <w:p>
      <w:pPr>
        <w:numPr>
          <w:ilvl w:val="0"/>
          <w:numId w:val="4"/>
        </w:numPr>
      </w:pPr>
      <w:r>
        <w:rPr/>
        <w:t xml:space="preserve">statistics for temporary protection;</w:t>
      </w:r>
    </w:p>
    <w:p>
      <w:pPr>
        <w:numPr>
          <w:ilvl w:val="0"/>
          <w:numId w:val="4"/>
        </w:numPr>
      </w:pPr>
      <w:r>
        <w:rPr/>
        <w:t xml:space="preserve">digitalisation process;</w:t>
      </w:r>
    </w:p>
    <w:p>
      <w:pPr>
        <w:numPr>
          <w:ilvl w:val="0"/>
          <w:numId w:val="4"/>
        </w:numPr>
      </w:pPr>
      <w:r>
        <w:rPr/>
        <w:t xml:space="preserve">policy update on Syrian applicants;</w:t>
      </w:r>
    </w:p>
    <w:p>
      <w:pPr>
        <w:numPr>
          <w:ilvl w:val="0"/>
          <w:numId w:val="4"/>
        </w:numPr>
      </w:pPr>
      <w:r>
        <w:rPr/>
        <w:t xml:space="preserve">updated guidelines following a CJEU judgment, for references to opinions of the State Agency for National Security, in matters related to national security;</w:t>
      </w:r>
    </w:p>
    <w:p>
      <w:pPr>
        <w:numPr>
          <w:ilvl w:val="0"/>
          <w:numId w:val="4"/>
        </w:numPr>
      </w:pPr>
      <w:r>
        <w:rPr/>
        <w:t xml:space="preserve">updates on the Internal Rules for the Conduct of the procedure for international protection to better reflect the scope and the use of the concept of ‘risk of absconding’.</w:t>
      </w:r>
    </w:p>
    <w:p>
      <w:pPr>
        <w:numPr>
          <w:ilvl w:val="0"/>
          <w:numId w:val="4"/>
        </w:numPr>
      </w:pPr>
      <w:r>
        <w:rPr/>
        <w:t xml:space="preserve">emphasis on the need to use CJEU jurisprudence when deciding on withdrawal of international protection;</w:t>
      </w:r>
    </w:p>
    <w:p>
      <w:pPr>
        <w:numPr>
          <w:ilvl w:val="0"/>
          <w:numId w:val="4"/>
        </w:numPr>
      </w:pPr>
      <w:r>
        <w:rPr/>
        <w:t xml:space="preserve">The Act supplementing the Ministry of the Interior Act, published in State Gazette No 33 of 12 April 2024, entrusted the Ministry of the Interior (MoI) with the protection of the SAR reception centers. However, the Ministry informed to be able to take over the protection of the territorial units of the State Agency for Refugees at the Council of Ministers after September 2025. As such, the SAR decided to temporarily move asylum seekers from the Registration and Reception Centre (RCC) in the village of Banya and the Transit Centre (TC) in the village of Pastrogor and transfer them to the Harmanli ROC.</w:t>
      </w:r>
    </w:p>
    <w:p>
      <w:pPr>
        <w:numPr>
          <w:ilvl w:val="0"/>
          <w:numId w:val="4"/>
        </w:numPr>
      </w:pPr>
      <w:r>
        <w:rPr/>
        <w:t xml:space="preserve">updates on the reception system;</w:t>
      </w:r>
    </w:p>
    <w:p>
      <w:pPr>
        <w:numPr>
          <w:ilvl w:val="0"/>
          <w:numId w:val="4"/>
        </w:numPr>
      </w:pPr>
      <w:r>
        <w:rPr/>
        <w:t xml:space="preserve">updates on temporary protection;</w:t>
      </w:r>
    </w:p>
    <w:p>
      <w:pPr>
        <w:numPr>
          <w:ilvl w:val="0"/>
          <w:numId w:val="4"/>
        </w:numPr>
      </w:pPr>
      <w:r>
        <w:rPr/>
        <w:t xml:space="preserve">the Action Plan for Temporary Protection in the Republic of Bulgaria was updated with regards to accommodation and it will be further updated;</w:t>
      </w:r>
    </w:p>
    <w:p>
      <w:pPr>
        <w:numPr>
          <w:ilvl w:val="0"/>
          <w:numId w:val="4"/>
        </w:numPr>
      </w:pPr>
      <w:r>
        <w:rPr/>
        <w:t xml:space="preserve">the SAR drafted input for the pending vases before the CJEU on the safe country concepts;</w:t>
      </w:r>
    </w:p>
    <w:p>
      <w:pPr>
        <w:numPr>
          <w:ilvl w:val="0"/>
          <w:numId w:val="4"/>
        </w:numPr>
      </w:pPr>
      <w:r>
        <w:rPr/>
        <w:t xml:space="preserve">the Strategic Working Group on Migration and Asylum Management at the National Council on Migration, Borders, Asylum and Integration (NCMMAI) was established at national level for implementation of the Pact;</w:t>
      </w:r>
    </w:p>
    <w:p>
      <w:pPr>
        <w:numPr>
          <w:ilvl w:val="0"/>
          <w:numId w:val="4"/>
        </w:numPr>
      </w:pPr>
      <w:r>
        <w:rPr/>
        <w:t xml:space="preserve">Dublin procedure.</w:t>
      </w:r>
    </w:p>
    <w:p>
      <w:pPr/>
      <w:r>
        <w:rPr>
          <w:b w:val="1"/>
          <w:bCs w:val="1"/>
        </w:rPr>
        <w:t xml:space="preserve">Source(s)</w:t>
      </w:r>
    </w:p>
    <w:p>
      <w:pPr>
        <w:numPr>
          <w:ilvl w:val="0"/>
          <w:numId w:val="5"/>
        </w:numPr>
      </w:pPr>
      <w:r>
        <w:rPr/>
        <w:t xml:space="preserve">State Agency for Refugees at the Council of Ministers | Държавната агенция за бежанците при Министерския съвет (3 February, 2025), Отчетен доклад за проведената процедура за международна закрила за 2024 г. [Report on the conducted international protection procedure for 2024],</w:t>
      </w:r>
      <w:hyperlink r:id="rId9" w:history="1">
        <w:r>
          <w:rPr>
            <w:color w:val="var(--word-link)"/>
          </w:rPr>
          <w:t xml:space="preserve">https://aref.government.bg/en/node/849</w:t>
        </w:r>
      </w:hyperlink>
    </w:p>
    <w:p>
      <w:pPr/>
      <w:r>
        <w:rPr>
          <w:b w:val="1"/>
          <w:bCs w:val="1"/>
        </w:rPr>
        <w:t xml:space="preserve">Date of development</w:t>
      </w:r>
    </w:p>
    <w:p>
      <w:pPr/>
      <w:r>
        <w:rPr/>
        <w:t xml:space="preserve">03.02.2025</w:t>
      </w:r>
    </w:p>
    <w:p>
      <w:pPr/>
      <w:r>
        <w:rPr>
          <w:b w:val="1"/>
          <w:bCs w:val="1"/>
        </w:rPr>
        <w:t xml:space="preserve">Country</w:t>
      </w:r>
    </w:p>
    <w:p>
      <w:pPr/>
      <w:r>
        <w:rPr/>
        <w:t xml:space="preserve">Bulgaria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041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C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tate-agency-refugees-publishes-report-international-protection" TargetMode="External"/><Relationship Id="rId8" Type="http://schemas.openxmlformats.org/officeDocument/2006/relationships/hyperlink" Target="/developments" TargetMode="External"/><Relationship Id="rId9" Type="http://schemas.openxmlformats.org/officeDocument/2006/relationships/hyperlink" Target="https://aref.government.bg/en/node/849"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2026-07-07T00:16:02+00:00</dcterms:created>
  <dcterms:modified xsi:type="dcterms:W3CDTF">2026-07-07T00:16:02+00:00</dcterms:modified>
</cp:coreProperties>
</file>

<file path=docProps/custom.xml><?xml version="1.0" encoding="utf-8"?>
<Properties xmlns="http://schemas.openxmlformats.org/officeDocument/2006/custom-properties" xmlns:vt="http://schemas.openxmlformats.org/officeDocument/2006/docPropsVTypes"/>
</file>