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updates its work instructions on age assessment zzzzzz</w:t>
        </w:r>
      </w:hyperlink>
    </w:p>
    <w:p>
      <w:pPr/>
      <w:r>
        <w:rPr/>
        <w:t xml:space="preserve">The updates were prompted by two court judgements: </w:t>
      </w:r>
    </w:p>
    <w:p>
      <w:pPr/>
      <w:r>
        <w:rPr/>
        <w:t xml:space="preserve">Netherlands, Council of State [Afdeling Bestuursrechtspraak van de Raad van State], </w:t>
      </w:r>
      <w:hyperlink r:id="rId8" w:history="1">
        <w:r>
          <w:rPr>
            <w:color w:val="var(--word-link)"/>
          </w:rPr>
          <w:t xml:space="preserve">Applicant v The Minister for Asylum and Migration (de Minister van Asiel en Migratie)</w:t>
        </w:r>
      </w:hyperlink>
      <w:r>
        <w:rPr/>
        <w:t xml:space="preserve">, 202201742/1/V2, ECLI:NL:RVS:2024:3992, 09 October 2024. </w:t>
      </w:r>
    </w:p>
    <w:p>
      <w:pPr/>
      <w:r>
        <w:rPr/>
        <w:t xml:space="preserve">Netherlands, Council of State [Afdeling Bestuursrechtspraak van de Raad van State], </w:t>
      </w:r>
      <w:hyperlink r:id="rId9" w:history="1">
        <w:r>
          <w:rPr>
            <w:color w:val="var(--word-link)"/>
          </w:rPr>
          <w:t xml:space="preserve">Applicant v The Minister for Asylum and Migration (de Minister van Asiel en Migratie)</w:t>
        </w:r>
      </w:hyperlink>
      <w:r>
        <w:rPr/>
        <w:t xml:space="preserve">, 202305421/1/V2, ECLI:NL:RVS:2024:5256, 18 December 2024. </w:t>
      </w:r>
    </w:p>
    <w:p>
      <w:pPr/>
      <w:r>
        <w:rPr/>
        <w:t xml:space="preserve">They involve the way age assessment undertaken in another EU+ country should be considered by Dutch authorities and the appeal of a decision related to age determination.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(6 February, 2025), WI 2025/1 Leeftijdsbepaling [WI 2025/1 Age assessment],</w:t>
      </w:r>
      <w:hyperlink r:id="rId10" w:history="1">
        <w:r>
          <w:rPr>
            <w:color w:val="var(--word-link)"/>
          </w:rPr>
          <w:t xml:space="preserve">https://puc.overheid.nl/ind/doc/PUC_1359801_1/1/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760B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updates-its-work-instructions-age-assessment" TargetMode="External"/><Relationship Id="rId8" Type="http://schemas.openxmlformats.org/officeDocument/2006/relationships/hyperlink" Target="https://caselaw.euaa.europa.eu/pages/viewcaselaw.aspx?CaseLawID=4605" TargetMode="External"/><Relationship Id="rId9" Type="http://schemas.openxmlformats.org/officeDocument/2006/relationships/hyperlink" Target="https://caselaw.euaa.europa.eu/pages/viewcaselaw.aspx?CaseLawID=4858" TargetMode="External"/><Relationship Id="rId10" Type="http://schemas.openxmlformats.org/officeDocument/2006/relationships/hyperlink" Target="https://puc.overheid.nl/ind/doc/PUC_1359801_1/1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2026-07-12T01:50:46+00:00</dcterms:created>
  <dcterms:modified xsi:type="dcterms:W3CDTF">2026-07-12T01:50:46+00:00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