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Slovenia</w:t>
      </w:r>
    </w:p>
    <w:p>
      <w:pPr>
        <w:pStyle w:val="Heading2"/>
      </w:pPr>
      <w:r>
        <w:rPr/>
        <w:t xml:space="preserve">Dublin procedure - Slovenia</w:t>
      </w:r>
    </w:p>
    <w:p>
      <w:pPr>
        <w:numPr>
          <w:ilvl w:val="0"/>
          <w:numId w:val="4"/>
        </w:numPr>
      </w:pPr>
      <w:hyperlink w:anchor="section-2247" w:history="1">
        <w:r>
          <w:rPr>
            <w:color w:val="var(--word-link)"/>
          </w:rPr>
          <w:t xml:space="preserve">Overview</w:t>
        </w:r>
      </w:hyperlink>
    </w:p>
    <w:p>
      <w:pPr>
        <w:numPr>
          <w:ilvl w:val="0"/>
          <w:numId w:val="4"/>
        </w:numPr>
      </w:pPr>
      <w:hyperlink w:anchor="section-2248" w:history="1">
        <w:r>
          <w:rPr>
            <w:color w:val="var(--word-link)"/>
          </w:rPr>
          <w:t xml:space="preserve">Relevant EU legislation</w:t>
        </w:r>
      </w:hyperlink>
    </w:p>
    <w:p>
      <w:pPr>
        <w:numPr>
          <w:ilvl w:val="0"/>
          <w:numId w:val="4"/>
        </w:numPr>
      </w:pPr>
      <w:hyperlink w:anchor="section-2249" w:history="1">
        <w:r>
          <w:rPr>
            <w:color w:val="var(--word-link)"/>
          </w:rPr>
          <w:t xml:space="preserve">National legislation</w:t>
        </w:r>
      </w:hyperlink>
    </w:p>
    <w:p>
      <w:pPr>
        <w:numPr>
          <w:ilvl w:val="0"/>
          <w:numId w:val="4"/>
        </w:numPr>
      </w:pPr>
      <w:hyperlink w:anchor="section-2250" w:history="1">
        <w:r>
          <w:rPr>
            <w:color w:val="var(--word-link)"/>
          </w:rPr>
          <w:t xml:space="preserve">Competent authority and stakeholders</w:t>
        </w:r>
      </w:hyperlink>
    </w:p>
    <w:p>
      <w:pPr>
        <w:numPr>
          <w:ilvl w:val="0"/>
          <w:numId w:val="4"/>
        </w:numPr>
      </w:pPr>
      <w:hyperlink w:anchor="section-2252" w:history="1">
        <w:r>
          <w:rPr>
            <w:color w:val="var(--word-link)"/>
          </w:rPr>
          <w:t xml:space="preserve">Provision of information on the Dublin procedure</w:t>
        </w:r>
      </w:hyperlink>
    </w:p>
    <w:p>
      <w:pPr>
        <w:numPr>
          <w:ilvl w:val="0"/>
          <w:numId w:val="4"/>
        </w:numPr>
      </w:pPr>
      <w:hyperlink w:anchor="section-2253" w:history="1">
        <w:r>
          <w:rPr>
            <w:color w:val="var(--word-link)"/>
          </w:rPr>
          <w:t xml:space="preserve">Right to legal counselling</w:t>
        </w:r>
      </w:hyperlink>
    </w:p>
    <w:p>
      <w:pPr>
        <w:numPr>
          <w:ilvl w:val="0"/>
          <w:numId w:val="4"/>
        </w:numPr>
      </w:pPr>
      <w:hyperlink w:anchor="section-2254" w:history="1">
        <w:r>
          <w:rPr>
            <w:color w:val="var(--word-link)"/>
          </w:rPr>
          <w:t xml:space="preserve">Personal interview to determine the Member State responsible</w:t>
        </w:r>
      </w:hyperlink>
    </w:p>
    <w:p>
      <w:pPr>
        <w:numPr>
          <w:ilvl w:val="0"/>
          <w:numId w:val="4"/>
        </w:numPr>
      </w:pPr>
      <w:hyperlink w:anchor="section-2255" w:history="1">
        <w:r>
          <w:rPr>
            <w:color w:val="var(--word-link)"/>
          </w:rPr>
          <w:t xml:space="preserve">Notification of the transfer decision</w:t>
        </w:r>
      </w:hyperlink>
    </w:p>
    <w:p>
      <w:pPr>
        <w:numPr>
          <w:ilvl w:val="0"/>
          <w:numId w:val="4"/>
        </w:numPr>
      </w:pPr>
      <w:hyperlink w:anchor="section-2256" w:history="1">
        <w:r>
          <w:rPr>
            <w:color w:val="var(--word-link)"/>
          </w:rPr>
          <w:t xml:space="preserve">Remedies</w:t>
        </w:r>
      </w:hyperlink>
    </w:p>
    <w:p>
      <w:pPr>
        <w:numPr>
          <w:ilvl w:val="0"/>
          <w:numId w:val="4"/>
        </w:numPr>
      </w:pPr>
      <w:hyperlink w:anchor="section-2257" w:history="1">
        <w:r>
          <w:rPr>
            <w:color w:val="var(--word-link)"/>
          </w:rPr>
          <w:t xml:space="preserve">Transfer arrangements</w:t>
        </w:r>
      </w:hyperlink>
    </w:p>
    <w:p>
      <w:pPr>
        <w:numPr>
          <w:ilvl w:val="0"/>
          <w:numId w:val="4"/>
        </w:numPr>
      </w:pPr>
      <w:hyperlink w:anchor="section-2258" w:history="1">
        <w:r>
          <w:rPr>
            <w:color w:val="var(--word-link)"/>
          </w:rPr>
          <w:t xml:space="preserve">Guarantees for minors</w:t>
        </w:r>
      </w:hyperlink>
    </w:p>
    <w:p>
      <w:pPr>
        <w:pStyle w:val="Heading1"/>
      </w:pPr>
      <w:r>
        <w:rPr/>
        <w:t xml:space="preserve">Dublin procedure - Slovenia</w:t>
      </w:r>
    </w:p>
    <w:p>
      <w:pPr>
        <w:pStyle w:val="Heading2"/>
      </w:pPr>
      <w:r>
        <w:rPr/>
        <w:t xml:space="preserve">Overview</w:t>
      </w:r>
    </w:p>
    <w:p>
      <w:pPr>
        <w:pStyle w:val="Heading2"/>
      </w:pPr>
      <w:r>
        <w:rPr/>
        <w:t xml:space="preserve">Relevant EU legislation</w:t>
      </w:r>
    </w:p>
    <w:p>
      <w:pPr/>
      <w:r>
        <w:rPr/>
        <w:t xml:space="preserve">Slovenia is bound by the Dublin III Regulation, which is directly applicable. Some of its provisions were transposed through the </w:t>
      </w:r>
      <w:hyperlink r:id="rId18" w:history="1">
        <w:r>
          <w:rPr>
            <w:color w:val="var(--word-link)"/>
          </w:rPr>
          <w:t xml:space="preserve">International Protection Act (IPA) | Zakon o mednarodni zaščiti</w:t>
        </w:r>
      </w:hyperlink>
      <w:r>
        <w:rPr/>
        <w:t xml:space="preserve"> (ZMZ-1).</w:t>
      </w:r>
    </w:p>
    <w:p>
      <w:pPr>
        <w:pStyle w:val="Heading2"/>
      </w:pPr>
      <w:r>
        <w:rPr/>
        <w:t xml:space="preserve">National legislation</w:t>
      </w:r>
    </w:p>
    <w:p>
      <w:pPr/>
      <w:r>
        <w:rPr/>
        <w:t xml:space="preserve">The Dublin III Regulation is directly applicable in Slovenia and only the provisions required by the regulation were transposed. International Protection is regulated by the </w:t>
      </w:r>
      <w:hyperlink r:id="rId18" w:history="1">
        <w:r>
          <w:rPr>
            <w:color w:val="var(--word-link)"/>
          </w:rPr>
          <w:t xml:space="preserve">International Protection Act (Official Gazette of the Republic of Slovenia, No 16/17 – official consolidated text, 54/21 and 42/23 – ZZSDT-D) | Zakon o mednarodni zaščit</w:t>
        </w:r>
      </w:hyperlink>
      <w:r>
        <w:rPr/>
        <w:t xml:space="preserve">i.</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r>
        <w:rPr/>
        <w:t xml:space="preserve"> International Protection Procedures Division | </w:t>
      </w:r>
      <w:hyperlink r:id="rId19" w:history="1">
        <w:r>
          <w:rPr>
            <w:color w:val="var(--word-link)"/>
          </w:rPr>
          <w:t xml:space="preserve">Sektor za postopke mednarodne zaščite</w:t>
        </w:r>
      </w:hyperlink>
    </w:p>
    <w:p>
      <w:pPr/>
      <w:r>
        <w:rPr/>
        <w:t xml:space="preserve">Place in the institutional framework: A specialised Dublin unit does not exist. Specialised case officers within the International Protection Procedures Division of the Migration Directorate of the Ministry of the Interior are in charge of carrying out tasks related to the Dublin procedure.</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Yes</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Yes</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9" w:history="1">
              <w:r>
                <w:rPr>
                  <w:color w:val="var(--word-link)"/>
                </w:rPr>
                <w:t xml:space="preserve">International Protection Procedures Division | Sektor za postopke mednarodne zaščite</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9" w:history="1">
              <w:r>
                <w:rPr>
                  <w:color w:val="var(--word-link)"/>
                </w:rPr>
                <w:t xml:space="preserve">International Protection Procedures Division | Sektor za postopke mednarodne zaščite</w:t>
              </w:r>
            </w:hyperlink>
          </w:p>
        </w:tc>
      </w:tr>
      <w:tr>
        <w:trPr/>
        <w:tc>
          <w:tcPr>
            <w:tcW w:w="2994" w:type="dxa"/>
            <w:noWrap/>
          </w:tcPr>
          <w:p>
            <w:pPr/>
            <w:r>
              <w:rPr/>
              <w:t xml:space="preserve">Referral of cases to the Dublin unit</w:t>
            </w:r>
          </w:p>
        </w:tc>
        <w:tc>
          <w:tcPr>
            <w:tcW w:w="6078" w:type="dxa"/>
            <w:noWrap/>
          </w:tcPr>
          <w:p>
            <w:pPr/>
            <w:hyperlink r:id="rId19" w:history="1">
              <w:r>
                <w:rPr>
                  <w:color w:val="var(--word-link)"/>
                </w:rPr>
                <w:t xml:space="preserve">International Protection Procedures Division | Sektor za postopke mednarodne zaščite</w:t>
              </w:r>
            </w:hyperlink>
          </w:p>
        </w:tc>
      </w:tr>
      <w:tr>
        <w:trPr/>
        <w:tc>
          <w:tcPr>
            <w:tcW w:w="2994" w:type="dxa"/>
            <w:noWrap/>
          </w:tcPr>
          <w:p>
            <w:pPr/>
            <w:r>
              <w:rPr/>
              <w:t xml:space="preserve">Sending and replying to a take charge or take back request</w:t>
            </w:r>
          </w:p>
        </w:tc>
        <w:tc>
          <w:tcPr>
            <w:tcW w:w="6078" w:type="dxa"/>
            <w:noWrap/>
          </w:tcPr>
          <w:p>
            <w:pPr/>
            <w:hyperlink r:id="rId19" w:history="1">
              <w:r>
                <w:rPr>
                  <w:color w:val="var(--word-link)"/>
                </w:rPr>
                <w:t xml:space="preserve">International Protection Procedures Division | Sektor za postopke mednarodne zaščite</w:t>
              </w:r>
            </w:hyperlink>
          </w:p>
        </w:tc>
      </w:tr>
      <w:tr>
        <w:trPr/>
        <w:tc>
          <w:tcPr>
            <w:tcW w:w="2994" w:type="dxa"/>
            <w:noWrap/>
          </w:tcPr>
          <w:p>
            <w:pPr/>
            <w:r>
              <w:rPr/>
              <w:t xml:space="preserve">Sending and replying to information requests to/from another Member State</w:t>
            </w:r>
          </w:p>
        </w:tc>
        <w:tc>
          <w:tcPr>
            <w:tcW w:w="6078" w:type="dxa"/>
            <w:noWrap/>
          </w:tcPr>
          <w:p>
            <w:pPr/>
            <w:hyperlink r:id="rId19" w:history="1">
              <w:r>
                <w:rPr>
                  <w:color w:val="var(--word-link)"/>
                </w:rPr>
                <w:t xml:space="preserve">International Protection Procedures Division | Sektor za postopke mednarodne zaščite</w:t>
              </w:r>
            </w:hyperlink>
          </w:p>
        </w:tc>
      </w:tr>
      <w:tr>
        <w:trPr/>
        <w:tc>
          <w:tcPr>
            <w:tcW w:w="2994" w:type="dxa"/>
            <w:noWrap/>
          </w:tcPr>
          <w:p>
            <w:pPr/>
            <w:r>
              <w:rPr/>
              <w:t xml:space="preserve">Notification of the transfer decision</w:t>
            </w:r>
          </w:p>
        </w:tc>
        <w:tc>
          <w:tcPr>
            <w:tcW w:w="6078" w:type="dxa"/>
            <w:noWrap/>
          </w:tcPr>
          <w:p>
            <w:pPr/>
            <w:hyperlink r:id="rId19" w:history="1">
              <w:r>
                <w:rPr>
                  <w:color w:val="var(--word-link)"/>
                </w:rPr>
                <w:t xml:space="preserve">International Protection Procedures Division | Sektor za postopke mednarodne zaščite</w:t>
              </w:r>
            </w:hyperlink>
          </w:p>
        </w:tc>
      </w:tr>
      <w:tr>
        <w:trPr/>
        <w:tc>
          <w:tcPr>
            <w:tcW w:w="2994" w:type="dxa"/>
            <w:noWrap/>
          </w:tcPr>
          <w:p>
            <w:pPr/>
            <w:r>
              <w:rPr/>
              <w:t xml:space="preserve">Free legal assistance during the appeal of a transfer decision</w:t>
            </w:r>
          </w:p>
        </w:tc>
        <w:tc>
          <w:tcPr>
            <w:tcW w:w="6078" w:type="dxa"/>
            <w:noWrap/>
          </w:tcPr>
          <w:p>
            <w:pPr/>
            <w:r>
              <w:rPr/>
              <w:t xml:space="preserve">Refugee counsellors are appointed by the Ministry of Justice | </w:t>
            </w:r>
            <w:hyperlink r:id="rId20" w:history="1">
              <w:r>
                <w:rPr>
                  <w:color w:val="var(--word-link)"/>
                </w:rPr>
                <w:t xml:space="preserve">Ministrstvo za pravosodje</w:t>
              </w:r>
            </w:hyperlink>
            <w:r>
              <w:rPr/>
              <w:t xml:space="preserve"> and funded by the </w:t>
            </w:r>
            <w:hyperlink r:id="rId21" w:history="1">
              <w:r>
                <w:rPr>
                  <w:color w:val="var(--word-link)"/>
                </w:rPr>
                <w:t xml:space="preserve">Ministry of the Interior | Ministrstvo za Notranje Zadeve</w:t>
              </w:r>
            </w:hyperlink>
            <w:r>
              <w:rPr/>
              <w:t xml:space="preserve">. NGOs can provide legal assistance but cannot represent an applicant before the court in the appeal procedure.</w:t>
            </w:r>
          </w:p>
        </w:tc>
      </w:tr>
      <w:tr>
        <w:trPr/>
        <w:tc>
          <w:tcPr>
            <w:tcW w:w="2994" w:type="dxa"/>
            <w:noWrap/>
          </w:tcPr>
          <w:p>
            <w:pPr/>
            <w:r>
              <w:rPr/>
              <w:t xml:space="preserve">Representation of the asylum authority in an appeal against a transfer decision</w:t>
            </w:r>
          </w:p>
        </w:tc>
        <w:tc>
          <w:tcPr>
            <w:tcW w:w="6078" w:type="dxa"/>
            <w:noWrap/>
          </w:tcPr>
          <w:p>
            <w:pPr/>
            <w:hyperlink r:id="rId21" w:history="1">
              <w:r>
                <w:rPr>
                  <w:color w:val="var(--word-link)"/>
                </w:rPr>
                <w:t xml:space="preserve">Ministry of the Interior | Ministrstvo za Notranje Zadeve</w:t>
              </w:r>
            </w:hyperlink>
          </w:p>
        </w:tc>
      </w:tr>
      <w:tr>
        <w:trPr/>
        <w:tc>
          <w:tcPr>
            <w:tcW w:w="2994" w:type="dxa"/>
            <w:noWrap/>
          </w:tcPr>
          <w:p>
            <w:pPr/>
            <w:r>
              <w:rPr/>
              <w:t xml:space="preserve">Organising the transfer to the responsible Member State</w:t>
            </w:r>
          </w:p>
        </w:tc>
        <w:tc>
          <w:tcPr>
            <w:tcW w:w="6078" w:type="dxa"/>
            <w:noWrap/>
          </w:tcPr>
          <w:p>
            <w:pPr/>
            <w:hyperlink r:id="rId19" w:history="1">
              <w:r>
                <w:rPr>
                  <w:color w:val="var(--word-link)"/>
                </w:rPr>
                <w:t xml:space="preserve">International Protection Procedures Division | Sektor za postopke mednarodne zaščite</w:t>
              </w:r>
            </w:hyperlink>
          </w:p>
        </w:tc>
      </w:tr>
      <w:tr>
        <w:trPr/>
        <w:tc>
          <w:tcPr>
            <w:tcW w:w="2994" w:type="dxa"/>
            <w:noWrap/>
          </w:tcPr>
          <w:p>
            <w:pPr/>
            <w:r>
              <w:rPr/>
              <w:t xml:space="preserve">Providing information on the transfer modalities to the applicant</w:t>
            </w:r>
          </w:p>
        </w:tc>
        <w:tc>
          <w:tcPr>
            <w:tcW w:w="6078" w:type="dxa"/>
            <w:noWrap/>
          </w:tcPr>
          <w:p>
            <w:pPr/>
            <w:r>
              <w:rPr/>
              <w:t xml:space="preserve">Government </w:t>
            </w:r>
            <w:hyperlink r:id="rId22" w:history="1">
              <w:r>
                <w:rPr>
                  <w:color w:val="var(--word-link)"/>
                </w:rPr>
                <w:t xml:space="preserve">Office for the Support and Integration of Migrants | Urad vlade za oskrbo in integracijo migrantov</w:t>
              </w:r>
            </w:hyperlink>
            <w:r>
              <w:rPr/>
              <w:t xml:space="preserve"> (social worker of the reception centre)</w:t>
            </w:r>
          </w:p>
        </w:tc>
      </w:tr>
      <w:tr>
        <w:trPr/>
        <w:tc>
          <w:tcPr>
            <w:tcW w:w="2994" w:type="dxa"/>
            <w:noWrap/>
          </w:tcPr>
          <w:p>
            <w:pPr/>
            <w:r>
              <w:rPr/>
              <w:t xml:space="preserve">Accompanying/escorting applicants during a Dublin transfer when necessary</w:t>
            </w:r>
          </w:p>
        </w:tc>
        <w:tc>
          <w:tcPr>
            <w:tcW w:w="6078" w:type="dxa"/>
            <w:noWrap/>
          </w:tcPr>
          <w:p>
            <w:pPr/>
            <w:hyperlink r:id="rId19" w:history="1">
              <w:r>
                <w:rPr>
                  <w:color w:val="var(--word-link)"/>
                </w:rPr>
                <w:t xml:space="preserve">International Protection Procedures Division | Sektor za postopke mednarodne zaščite</w:t>
              </w:r>
            </w:hyperlink>
          </w:p>
          <w:p>
            <w:pPr/>
            <w:r>
              <w:rPr/>
              <w:t xml:space="preserve">The Police | Policija</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r>
              <w:rPr/>
              <w:t xml:space="preserve">Government </w:t>
            </w:r>
            <w:hyperlink r:id="rId22" w:history="1">
              <w:r>
                <w:rPr>
                  <w:color w:val="var(--word-link)"/>
                </w:rPr>
                <w:t xml:space="preserve">Office for the Support and Integration of Migrants | Urad vlade za oskrbo in integracijo migrantov</w:t>
              </w:r>
            </w:hyperlink>
            <w:r>
              <w:rPr/>
              <w:t xml:space="preserve"> (reception centre staff) </w:t>
            </w:r>
          </w:p>
          <w:p>
            <w:pPr/>
            <w:hyperlink r:id="rId19" w:history="1">
              <w:r>
                <w:rPr>
                  <w:color w:val="var(--word-link)"/>
                </w:rPr>
                <w:t xml:space="preserve">International Protection Procedures Division | Sektor za postopke mednarodne zaščite</w:t>
              </w:r>
            </w:hyperlink>
            <w:r>
              <w:rPr/>
              <w:t xml:space="preserve"> (Dublin staff at the border crossing)</w:t>
            </w:r>
          </w:p>
        </w:tc>
      </w:tr>
      <w:tr>
        <w:trPr/>
        <w:tc>
          <w:tcPr>
            <w:tcW w:w="2994" w:type="dxa"/>
            <w:noWrap/>
          </w:tcPr>
          <w:p>
            <w:pPr/>
            <w:r>
              <w:rPr/>
              <w:t xml:space="preserve">Court/authority responsible for deciding on an appeal against a transfer decision</w:t>
            </w:r>
          </w:p>
        </w:tc>
        <w:tc>
          <w:tcPr>
            <w:tcW w:w="6078" w:type="dxa"/>
            <w:noWrap/>
          </w:tcPr>
          <w:p>
            <w:pPr/>
            <w:r>
              <w:rPr/>
              <w:t xml:space="preserve">The </w:t>
            </w:r>
            <w:hyperlink r:id="rId23" w:history="1">
              <w:r>
                <w:rPr>
                  <w:color w:val="var(--word-link)"/>
                </w:rPr>
                <w:t xml:space="preserve">Administrative Court of the Republic of Slovenia | Upravno sodišče Republike Slovenije</w:t>
              </w:r>
            </w:hyperlink>
          </w:p>
        </w:tc>
      </w:tr>
    </w:tbl>
    <w:p>
      <w:pPr>
        <w:pStyle w:val="Heading2"/>
      </w:pPr>
      <w:r>
        <w:rPr/>
        <w:t xml:space="preserve">Provision of information on the Dublin procedure</w:t>
      </w:r>
    </w:p>
    <w:p>
      <w:pPr/>
      <w:r>
        <w:rPr/>
        <w:t xml:space="preserve">The International Protection Procedures Division is responsible for information provision on the Dublin procedure, including handing over the common leaflet on the Dublin procedure.</w:t>
      </w:r>
    </w:p>
    <w:p>
      <w:pPr/>
      <w:br/>
      <w:r>
        <w:rPr/>
        <w:t xml:space="preserve">The provision of information in the Dublin procedure does not differ much from the regular international protection procedure. According to Article 5 of the IPA, before the application acceptance procedure begins, the person is informed about the procedures, the rights and obligations of applicants, potential consequences of disregarding the obligations and non-cooperation with the competent authority, the time limits for legal remedies, and information about refugee counsellors and NGOs working in the field of international protection. Before the lodging of an application, applicants are informed through a video which contains information on the Dublin procedure.</w:t>
      </w:r>
    </w:p>
    <w:p>
      <w:pPr/>
      <w:br/>
      <w:r>
        <w:rPr/>
        <w:t xml:space="preserve">The common leaflet on the Dublin procedure is complemented with specific national information, and the Ministry of the Interior, in cooperation with the EUAA, have developed posters on the Dublin procedure in several languages, including Arabic, Bengali, English, Spanish, Farsi, Pashto, Urdu and Turkish.</w:t>
      </w:r>
      <w:br/>
      <w:br/>
      <w:r>
        <w:rPr/>
        <w:t xml:space="preserve">Information about the Dublin procedure and legal representation during the Dublin procedure can also be provided by the Legal Centre for the Protection of Human Rights and the Environment (PIC).</w:t>
      </w:r>
      <w:br/>
      <w:r>
        <w:rPr/>
        <w:t xml:space="preserve"> </w:t>
      </w:r>
    </w:p>
    <w:p>
      <w:pPr>
        <w:pStyle w:val="Heading2"/>
      </w:pPr>
      <w:r>
        <w:rPr/>
        <w:t xml:space="preserve">Right to legal counselling</w:t>
      </w:r>
    </w:p>
    <w:p>
      <w:pPr/>
      <w:r>
        <w:rPr/>
        <w:t xml:space="preserve">Legal assistance in the Dublin procedure is provided in the same way as in the regular procedure. In the first instance, the legal representation can be provided by PIC, while applicants are appointed a refugee counsellor to represent them in procedures before the Administrative Court and the Supreme Court. Refugee counsellors are appointed by the </w:t>
      </w:r>
      <w:hyperlink r:id="rId20" w:history="1">
        <w:r>
          <w:rPr>
            <w:color w:val="var(--word-link)"/>
          </w:rPr>
          <w:t xml:space="preserve">Ministry of Justice | Ministrstvo za pravosodje</w:t>
        </w:r>
      </w:hyperlink>
      <w:r>
        <w:rPr/>
        <w:t xml:space="preserve"> and funded by the </w:t>
      </w:r>
      <w:hyperlink r:id="rId21" w:history="1">
        <w:r>
          <w:rPr>
            <w:color w:val="var(--word-link)"/>
          </w:rPr>
          <w:t xml:space="preserve">Ministry of the Interior | Ministrstvo za Notranje Zadeve</w:t>
        </w:r>
      </w:hyperlink>
      <w:r>
        <w:rPr/>
        <w:t xml:space="preserve">. In appealing a transfer decision, NGOs can provide legal assistance but cannot represent an applicant before the court. Legal counselling is provided in person and is organised one-to-one. </w:t>
      </w:r>
    </w:p>
    <w:p>
      <w:pPr/>
      <w:r>
        <w:rPr/>
        <w:t xml:space="preserve"> </w:t>
      </w:r>
    </w:p>
    <w:p>
      <w:pPr>
        <w:pStyle w:val="Heading2"/>
      </w:pPr>
      <w:r>
        <w:rPr/>
        <w:t xml:space="preserve">Personal interview to determine the Member State responsible</w:t>
      </w:r>
    </w:p>
    <w:p>
      <w:pPr/>
      <w:r>
        <w:rPr>
          <w:b w:val="1"/>
          <w:bCs w:val="1"/>
        </w:rPr>
        <w:t xml:space="preserve">Organisation of the interview:</w:t>
      </w:r>
      <w:r>
        <w:rPr/>
        <w:t xml:space="preserve"> There is a separate personal interview for the determination of the Member State responsible (</w:t>
      </w:r>
      <w:hyperlink r:id="rId18" w:history="1">
        <w:r>
          <w:rPr>
            <w:color w:val="var(--word-link)"/>
          </w:rPr>
          <w:t xml:space="preserve">Article 46(1) IPA</w:t>
        </w:r>
      </w:hyperlink>
      <w:r>
        <w:rPr/>
        <w:t xml:space="preserve">). The Dublin interview may be recorded (</w:t>
      </w:r>
      <w:hyperlink r:id="rId18" w:history="1">
        <w:r>
          <w:rPr>
            <w:color w:val="var(--word-link)"/>
          </w:rPr>
          <w:t xml:space="preserve">Article 37(7) IPA</w:t>
        </w:r>
      </w:hyperlink>
      <w:r>
        <w:rPr/>
        <w:t xml:space="preserve">). The interview will be in person, but in exceptional cases, a personal interview may also be conducted electronically (</w:t>
      </w:r>
      <w:hyperlink r:id="rId18" w:history="1">
        <w:r>
          <w:rPr>
            <w:color w:val="var(--word-link)"/>
          </w:rPr>
          <w:t xml:space="preserve">Article 37 IPA</w:t>
        </w:r>
      </w:hyperlink>
      <w:r>
        <w:rPr/>
        <w:t xml:space="preserve">).</w:t>
      </w:r>
    </w:p>
    <w:p>
      <w:pPr/>
      <w:r>
        <w:rPr>
          <w:b w:val="1"/>
          <w:bCs w:val="1"/>
        </w:rPr>
        <w:t xml:space="preserve">Persons present during the interview:</w:t>
      </w:r>
      <w:r>
        <w:rPr/>
        <w:t xml:space="preserve"> The International Protection Procedures Division conducts the Dublin interview. The applicant and case officer are present during the interview, and the applicant can request an interpreter to be present during the interview.</w:t>
      </w:r>
    </w:p>
    <w:p>
      <w:pPr/>
      <w:r>
        <w:rPr/>
        <w:t xml:space="preserve">For an unaccompanied minor, the applicant’s guardian and an interpreter are present.</w:t>
      </w:r>
    </w:p>
    <w:p>
      <w:pPr/>
      <w:r>
        <w:rPr/>
        <w:t xml:space="preserve">In agreement with the person interviewed, the interview may be attended by a representative of UNHCR, another public official or a competent authority's employee, scientific workers, students and civil servants if this is important for scientific work and the institution (</w:t>
      </w:r>
      <w:hyperlink r:id="rId18" w:history="1">
        <w:r>
          <w:rPr>
            <w:color w:val="var(--word-link)"/>
          </w:rPr>
          <w:t xml:space="preserve">Article 37(4) IPA</w:t>
        </w:r>
      </w:hyperlink>
      <w:r>
        <w:rPr/>
        <w:t xml:space="preserve">).</w:t>
      </w:r>
    </w:p>
    <w:p>
      <w:pPr>
        <w:pStyle w:val="Heading2"/>
      </w:pPr>
      <w:r>
        <w:rPr/>
        <w:t xml:space="preserve">Notification of the transfer decision</w:t>
      </w:r>
    </w:p>
    <w:p>
      <w:pPr/>
      <w:r>
        <w:rPr/>
        <w:t xml:space="preserve">The International Protection Procedures Division notifies the applicant about the transfer decision. The applicant will receive a written copy of the transfer decision.</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Administrative Court of the Republic of Slovenia | </w:t>
            </w:r>
            <w:hyperlink r:id="rId23" w:history="1">
              <w:r>
                <w:rPr>
                  <w:color w:val="var(--word-link)"/>
                </w:rPr>
                <w:t xml:space="preserve">Upravno sodišče Republike Slovenije</w:t>
              </w:r>
            </w:hyperlink>
          </w:p>
        </w:tc>
      </w:tr>
      <w:tr>
        <w:trPr/>
        <w:tc>
          <w:tcPr>
            <w:tcW w:w="2994" w:type="dxa"/>
            <w:noWrap/>
          </w:tcPr>
          <w:p>
            <w:pPr/>
            <w:r>
              <w:rPr/>
              <w:t xml:space="preserve">Deadline for review/appeal</w:t>
            </w:r>
          </w:p>
        </w:tc>
        <w:tc>
          <w:tcPr>
            <w:tcW w:w="6078" w:type="dxa"/>
            <w:noWrap/>
          </w:tcPr>
          <w:p>
            <w:pPr/>
            <w:r>
              <w:rPr/>
              <w:t xml:space="preserve">3 days following the delivery of the decision (</w:t>
            </w:r>
            <w:hyperlink r:id="rId18" w:history="1">
              <w:r>
                <w:rPr>
                  <w:color w:val="var(--word-link)"/>
                </w:rPr>
                <w:t xml:space="preserve">Article 70(2) IPA</w:t>
              </w:r>
            </w:hyperlink>
            <w:r>
              <w:rPr/>
              <w:t xml:space="preserve">).</w:t>
            </w:r>
          </w:p>
        </w:tc>
      </w:tr>
      <w:tr>
        <w:trPr/>
        <w:tc>
          <w:tcPr>
            <w:tcW w:w="2994" w:type="dxa"/>
            <w:noWrap/>
          </w:tcPr>
          <w:p>
            <w:pPr/>
            <w:r>
              <w:rPr/>
              <w:t xml:space="preserve">Deadline for decision on the review/appeal</w:t>
            </w:r>
          </w:p>
        </w:tc>
        <w:tc>
          <w:tcPr>
            <w:tcW w:w="6078" w:type="dxa"/>
            <w:noWrap/>
          </w:tcPr>
          <w:p>
            <w:pPr/>
            <w:r>
              <w:rPr/>
              <w:t xml:space="preserve">The Administrative Court decides on the appeal within 7 days (</w:t>
            </w:r>
            <w:hyperlink r:id="rId18" w:history="1">
              <w:r>
                <w:rPr>
                  <w:color w:val="var(--word-link)"/>
                </w:rPr>
                <w:t xml:space="preserve">Article 71(3) IPA</w:t>
              </w:r>
            </w:hyperlink>
            <w:r>
              <w:rPr/>
              <w:t xml:space="preserve">).</w:t>
            </w:r>
          </w:p>
        </w:tc>
      </w:tr>
      <w:tr>
        <w:trPr/>
        <w:tc>
          <w:tcPr>
            <w:tcW w:w="2994" w:type="dxa"/>
            <w:noWrap/>
          </w:tcPr>
          <w:p>
            <w:pPr/>
            <w:r>
              <w:rPr/>
              <w:t xml:space="preserve">Suspensive effect of the review/appeal</w:t>
            </w:r>
          </w:p>
        </w:tc>
        <w:tc>
          <w:tcPr>
            <w:tcW w:w="6078" w:type="dxa"/>
            <w:noWrap/>
          </w:tcPr>
          <w:p>
            <w:pPr/>
            <w:r>
              <w:rPr/>
              <w:t xml:space="preserve">An appeal does not have an automatic suspensive effect (</w:t>
            </w:r>
            <w:hyperlink r:id="rId18" w:history="1">
              <w:r>
                <w:rPr>
                  <w:color w:val="var(--word-link)"/>
                </w:rPr>
                <w:t xml:space="preserve">Article 70(3) IPA</w:t>
              </w:r>
            </w:hyperlink>
            <w:r>
              <w:rPr/>
              <w:t xml:space="preserve">). However, the applicant may apply to the court for an interim measure postponing the execution of the contested decision until a final decision has been issued, if its execution could cause the applicant to suffer damage which would be difficult to repair (</w:t>
            </w:r>
            <w:hyperlink r:id="rId24" w:history="1">
              <w:r>
                <w:rPr>
                  <w:color w:val="var(--word-link)"/>
                </w:rPr>
                <w:t xml:space="preserve">Article 32(2) Administrative Dispute Act</w:t>
              </w:r>
            </w:hyperlink>
            <w:r>
              <w:rPr/>
              <w:t xml:space="preserve">). According to an observation by PIC, in practice the determining authority does not carry out the decision until the Administrative Court rules on the request for a suspensive effect, and the situation is not very different from an automatic suspensive effect being prescribed by law.</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Supreme Court of Slovenia | </w:t>
            </w:r>
            <w:hyperlink r:id="rId25" w:history="1">
              <w:r>
                <w:rPr>
                  <w:color w:val="var(--word-link)"/>
                </w:rPr>
                <w:t xml:space="preserve">Vrhovno sodišče Republike Slovenije</w:t>
              </w:r>
            </w:hyperlink>
          </w:p>
        </w:tc>
      </w:tr>
      <w:tr>
        <w:trPr/>
        <w:tc>
          <w:tcPr>
            <w:tcW w:w="2994" w:type="dxa"/>
            <w:noWrap/>
          </w:tcPr>
          <w:p>
            <w:pPr/>
            <w:r>
              <w:rPr/>
              <w:t xml:space="preserve">Deadline for review/appeal</w:t>
            </w:r>
          </w:p>
        </w:tc>
        <w:tc>
          <w:tcPr>
            <w:tcW w:w="6078" w:type="dxa"/>
            <w:noWrap/>
          </w:tcPr>
          <w:p>
            <w:pPr/>
            <w:r>
              <w:rPr/>
              <w:t xml:space="preserve">n/a</w:t>
            </w:r>
          </w:p>
        </w:tc>
      </w:tr>
      <w:tr>
        <w:trPr/>
        <w:tc>
          <w:tcPr>
            <w:tcW w:w="2994" w:type="dxa"/>
            <w:noWrap/>
          </w:tcPr>
          <w:p>
            <w:pPr/>
            <w:r>
              <w:rPr/>
              <w:t xml:space="preserve">Deadline for decision on the review/appeal</w:t>
            </w:r>
          </w:p>
        </w:tc>
        <w:tc>
          <w:tcPr>
            <w:tcW w:w="6078" w:type="dxa"/>
            <w:noWrap/>
          </w:tcPr>
          <w:p>
            <w:pPr/>
            <w:r>
              <w:rPr/>
              <w:t xml:space="preserve">The Supreme Court has 30 days to decide on the appeal (</w:t>
            </w:r>
            <w:hyperlink r:id="rId18" w:history="1">
              <w:r>
                <w:rPr>
                  <w:color w:val="var(--word-link)"/>
                </w:rPr>
                <w:t xml:space="preserve">Article 71(4) IPA</w:t>
              </w:r>
            </w:hyperlink>
            <w:r>
              <w:rPr/>
              <w:t xml:space="preserve">).</w:t>
            </w:r>
          </w:p>
        </w:tc>
      </w:tr>
      <w:tr>
        <w:trPr/>
        <w:tc>
          <w:tcPr>
            <w:tcW w:w="2994" w:type="dxa"/>
            <w:noWrap/>
          </w:tcPr>
          <w:p>
            <w:pPr/>
            <w:r>
              <w:rPr/>
              <w:t xml:space="preserve">Suspensive effect of the review/appeal</w:t>
            </w:r>
          </w:p>
        </w:tc>
        <w:tc>
          <w:tcPr>
            <w:tcW w:w="6078" w:type="dxa"/>
            <w:noWrap/>
          </w:tcPr>
          <w:p>
            <w:pPr/>
            <w:r>
              <w:rPr/>
              <w:t xml:space="preserve">n/a</w:t>
            </w:r>
          </w:p>
        </w:tc>
      </w:tr>
    </w:tbl>
    <w:p>
      <w:pPr>
        <w:pStyle w:val="Heading2"/>
      </w:pPr>
      <w:r>
        <w:rPr/>
        <w:t xml:space="preserve">Transfer arrangements</w:t>
      </w:r>
    </w:p>
    <w:p>
      <w:pPr/>
      <w:r>
        <w:rPr/>
        <w:t xml:space="preserve">The </w:t>
      </w:r>
      <w:hyperlink r:id="rId19" w:history="1">
        <w:r>
          <w:rPr>
            <w:color w:val="var(--word-link)"/>
          </w:rPr>
          <w:t xml:space="preserve">International Protection Procedures Division</w:t>
        </w:r>
      </w:hyperlink>
      <w:r>
        <w:rPr/>
        <w:t xml:space="preserve"> notifies the applicant of the transfer decision. The </w:t>
      </w:r>
      <w:hyperlink r:id="rId22" w:history="1">
        <w:r>
          <w:rPr>
            <w:color w:val="var(--word-link)"/>
          </w:rPr>
          <w:t xml:space="preserve">Government Office for the Support and Integration of Migrants</w:t>
        </w:r>
      </w:hyperlink>
      <w:r>
        <w:rPr/>
        <w:t xml:space="preserve"> (UOIM) provides information on transfer modalities to the applicant and social workers at the reception centre. The </w:t>
      </w:r>
      <w:hyperlink r:id="rId19" w:history="1">
        <w:r>
          <w:rPr>
            <w:color w:val="var(--word-link)"/>
          </w:rPr>
          <w:t xml:space="preserve">International Protection Procedures Division</w:t>
        </w:r>
      </w:hyperlink>
      <w:r>
        <w:rPr/>
        <w:t xml:space="preserve"> or the police (Policija) accompany/escort applicants during a Dublin transfer when necessary (Who is Who in International Protection: Dublin procedure).</w:t>
      </w:r>
      <w:br/>
      <w:br/>
      <w:r>
        <w:rPr/>
        <w:t xml:space="preserve">The transfer takes place within 6 months from the date that the other Member State accepted responsibility. </w:t>
      </w:r>
      <w:br/>
      <w:r>
        <w:rPr/>
        <w:t xml:space="preserve"> </w:t>
      </w:r>
    </w:p>
    <w:p>
      <w:pPr>
        <w:pStyle w:val="Heading2"/>
      </w:pPr>
      <w:r>
        <w:rPr/>
        <w:t xml:space="preserve">Guarantees for minors</w:t>
      </w:r>
    </w:p>
    <w:p>
      <w:pPr/>
      <w:r>
        <w:rPr>
          <w:b w:val="1"/>
          <w:bCs w:val="1"/>
        </w:rPr>
        <w:t xml:space="preserve">Assessment of the best interests of the child:</w:t>
      </w:r>
      <w:r>
        <w:rPr/>
        <w:t xml:space="preserve"> The best interests of the child are a primary consideration according to </w:t>
      </w:r>
      <w:hyperlink r:id="rId18" w:history="1">
        <w:r>
          <w:rPr>
            <w:color w:val="var(--word-link)"/>
          </w:rPr>
          <w:t xml:space="preserve">Article 15 of the IPA</w:t>
        </w:r>
      </w:hyperlink>
      <w:r>
        <w:rPr/>
        <w:t xml:space="preserve">. In establishing the best interests of the child in the Dublin procedure, the following factors in particular are considered: the possibility of family reunification, the well-being and social development of a minor (particularly considering the environment from which the minor originates), issues concerning safety and protection (especially when there is a risk that the minor is a victim of trafficking in human beings), and the minor's opinion in accordance with his/her age and maturity.</w:t>
      </w:r>
    </w:p>
    <w:p>
      <w:pPr/>
      <w:r>
        <w:rPr>
          <w:b w:val="1"/>
          <w:bCs w:val="1"/>
        </w:rPr>
        <w:t xml:space="preserve">Statutory representative:</w:t>
      </w:r>
      <w:r>
        <w:rPr/>
        <w:t xml:space="preserve"> An unaccompanied minor is appointed a statutory representative who represents and assists the child in all stages of the Dublin procedure (</w:t>
      </w:r>
      <w:hyperlink r:id="rId18" w:history="1">
        <w:r>
          <w:rPr>
            <w:color w:val="var(--word-link)"/>
          </w:rPr>
          <w:t xml:space="preserve">Article 16(1) IPA</w:t>
        </w:r>
      </w:hyperlink>
      <w:r>
        <w:rPr/>
        <w:t xml:space="preserve">).</w:t>
      </w:r>
    </w:p>
    <w:p>
      <w:pPr/>
      <w:r>
        <w:rPr>
          <w:b w:val="1"/>
          <w:bCs w:val="1"/>
        </w:rPr>
        <w:t xml:space="preserve">Detection of potential family reunification cases:</w:t>
      </w:r>
      <w:r>
        <w:rPr/>
        <w:t xml:space="preserve"> If a minor arrived in Slovenia alone or they have been separated from their family, the authorities start the procedure to find the applicant’s parents or other relatives in the shortest possible time. The authorities and the statutory representative act in the best interests of the child and always take into prior consideration the possibility of reuniting the unaccompanied minor with their family. During registration, the unaccompanied minor is asked about their family members in Europe and the authorities may help the applicant to get reunited with them, if this is in their best interests.</w:t>
      </w:r>
    </w:p>
    <w:p>
      <w:pPr/>
      <w:r>
        <w:rPr/>
        <w:t xml:space="preserve"> </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p>
    <w:pPr>
      <w:spacing w:before="0" w:after="0"/>
    </w:pPr>
    <w:r>
      <w:rPr>
        <w:sz w:val="16"/>
        <w:szCs w:val="16"/>
      </w:rPr>
      <w:t xml:space="preserve">Dublin procedure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B1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247" TargetMode="External"/><Relationship Id="rId8" Type="http://schemas.openxmlformats.org/officeDocument/2006/relationships/hyperlink" Target="section-2248" TargetMode="External"/><Relationship Id="rId9" Type="http://schemas.openxmlformats.org/officeDocument/2006/relationships/hyperlink" Target="section-2249" TargetMode="External"/><Relationship Id="rId10" Type="http://schemas.openxmlformats.org/officeDocument/2006/relationships/hyperlink" Target="section-2250" TargetMode="External"/><Relationship Id="rId11" Type="http://schemas.openxmlformats.org/officeDocument/2006/relationships/hyperlink" Target="section-2252" TargetMode="External"/><Relationship Id="rId12" Type="http://schemas.openxmlformats.org/officeDocument/2006/relationships/hyperlink" Target="section-2253" TargetMode="External"/><Relationship Id="rId13" Type="http://schemas.openxmlformats.org/officeDocument/2006/relationships/hyperlink" Target="section-2254" TargetMode="External"/><Relationship Id="rId14" Type="http://schemas.openxmlformats.org/officeDocument/2006/relationships/hyperlink" Target="section-2255" TargetMode="External"/><Relationship Id="rId15" Type="http://schemas.openxmlformats.org/officeDocument/2006/relationships/hyperlink" Target="section-2256" TargetMode="External"/><Relationship Id="rId16" Type="http://schemas.openxmlformats.org/officeDocument/2006/relationships/hyperlink" Target="section-2257" TargetMode="External"/><Relationship Id="rId17" Type="http://schemas.openxmlformats.org/officeDocument/2006/relationships/hyperlink" Target="section-2258" TargetMode="External"/><Relationship Id="rId18" Type="http://schemas.openxmlformats.org/officeDocument/2006/relationships/hyperlink" Target="https://pisrs.si/pregledPredpisa?id=ZAKO7103" TargetMode="External"/><Relationship Id="rId19" Type="http://schemas.openxmlformats.org/officeDocument/2006/relationships/hyperlink" Target="https://www.gov.si/drzavni-organi/ministrstva/ministrstvo-za-notranje-zadeve/o-ministrstvu/direktorat-za-migracije/" TargetMode="External"/><Relationship Id="rId20" Type="http://schemas.openxmlformats.org/officeDocument/2006/relationships/hyperlink" Target="https://www.gov.si/en/state-authorities/ministries/ministry-of-justice/" TargetMode="External"/><Relationship Id="rId21" Type="http://schemas.openxmlformats.org/officeDocument/2006/relationships/hyperlink" Target="https://www.gov.si/en/state-authorities/ministries/ministry-of-the-interior/about-us/direktorat-za-migracije/" TargetMode="External"/><Relationship Id="rId22" Type="http://schemas.openxmlformats.org/officeDocument/2006/relationships/hyperlink" Target="https://www.gov.si/drzavni-organi/vladne-sluzbe/urad-vlade-za-oskrbo-in-integracijo-migrantov/" TargetMode="External"/><Relationship Id="rId23" Type="http://schemas.openxmlformats.org/officeDocument/2006/relationships/hyperlink" Target="https://www.sodisce.si/usrs/" TargetMode="External"/><Relationship Id="rId24" Type="http://schemas.openxmlformats.org/officeDocument/2006/relationships/hyperlink" Target="https://pisrs.si/pregledPredpisa?id=ZAKO1603" TargetMode="External"/><Relationship Id="rId25" Type="http://schemas.openxmlformats.org/officeDocument/2006/relationships/hyperlink" Target="https://www.sodisce.si/vsrs/"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2026-07-13T08:10:26+00:00</dcterms:created>
  <dcterms:modified xsi:type="dcterms:W3CDTF">2026-07-13T08:10:26+00:00</dcterms:modified>
</cp:coreProperties>
</file>

<file path=docProps/custom.xml><?xml version="1.0" encoding="utf-8"?>
<Properties xmlns="http://schemas.openxmlformats.org/officeDocument/2006/custom-properties" xmlns:vt="http://schemas.openxmlformats.org/officeDocument/2006/docPropsVTypes"/>
</file>