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and the HPC publish a report on gender-based violence in the asylum procedure zzzzzz</w:t>
        </w:r>
      </w:hyperlink>
    </w:p>
    <w:p>
      <w:pPr/>
      <w:r>
        <w:rPr/>
        <w:t xml:space="preserve">UNHCR and the Croatian Law Centre (HPC) published a report on gender-based violence in the asylum procedure, which analyses the legal and policy frameworks at the international and national levels in Croatia.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(1 January, 2025), [A journey to safety: many evacuees arriving to western Ukraine are highly vulnerable and need specialized care],</w:t>
      </w:r>
      <w:hyperlink r:id="rId8" w:history="1">
        <w:r>
          <w:rPr>
            <w:color w:val="var(--word-link)"/>
          </w:rPr>
          <w:t xml:space="preserve">https://www.unhcr.org/hr/wp-content/uploads/sites/19/2025/04/Gender-based-violence-within-the-asylum-procedure.pdf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Victims of GBV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CCB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unhcr-and-hpc-publish-report-gender-based-violence-asylum-procedure" TargetMode="External"/><Relationship Id="rId8" Type="http://schemas.openxmlformats.org/officeDocument/2006/relationships/hyperlink" Target="https://www.unhcr.org/hr/wp-content/uploads/sites/19/2025/04/Gender-based-violence-within-the-asylum-procedure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2026-07-06T19:50:41+00:00</dcterms:created>
  <dcterms:modified xsi:type="dcterms:W3CDTF">2026-07-06T19:50:41+00:00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