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Amendment of safe countries of origin list</w:t>
        </w:r>
      </w:hyperlink>
    </w:p>
    <w:p>
      <w:pPr/>
      <w:r>
        <w:rPr/>
        <w:t xml:space="preserve">New decision removing Georgia from the national list of safe countries of origin concept.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Swedish Migration Agency | Migrationsverket (7 January, 2025), Migrationsverkets föreskrifter om förteckning över säkra ursprungsländer [Swedish Migration Agency's regulations on the list of safe countries of origin],</w:t>
      </w:r>
      <w:hyperlink r:id="rId8" w:history="1">
        <w:r>
          <w:rPr>
            <w:color w:val="0444c4"/>
            <w:u w:val="single"/>
          </w:rPr>
          <w:t xml:space="preserve">https://www.migrationsverket.se/download/18.2cd2e409193b84c506a32a63/1738585081033/MIGRFS_2025_1.pdf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07.01.2025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Sweden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Safe country concept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2BD43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eden/amendment-safe-countries-origin-list" TargetMode="External"/><Relationship Id="rId8" Type="http://schemas.openxmlformats.org/officeDocument/2006/relationships/hyperlink" Target="https://www.migrationsverket.se/download/18.2cd2e409193b84c506a32a63/1738585081033/MIGRFS_2025_1.pdf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2026-08-25T23:17:01+00:00</dcterms:created>
  <dcterms:modified xsi:type="dcterms:W3CDTF">2026-08-25T23:17:01+00:00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