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publication from the Foundation for Access to Rights</w:t>
        </w:r>
      </w:hyperlink>
    </w:p>
    <w:p>
      <w:pPr/>
      <w:r>
        <w:rPr/>
        <w:t xml:space="preserve">The Foundation of Access to Rights published an article on missing persons, namely Chapter 2.1. "Jubilee Collection: Current Issues in Refugee and Migration Law", 2023.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Foundation for Access to Rights | Фондация за достъп до права (10 January, 2025), ИЗЧЕЗНАЛИ ЛИЦА [Missing persons],</w:t>
      </w:r>
      <w:hyperlink r:id="rId8" w:history="1">
        <w:r>
          <w:rPr>
            <w:color w:val="0444c4"/>
            <w:u w:val="single"/>
          </w:rPr>
          <w:t xml:space="preserve">https://farbg.eu/bg/latest/izcheznali-lica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4E74F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new-publication-foundation-access-rights" TargetMode="External"/><Relationship Id="rId8" Type="http://schemas.openxmlformats.org/officeDocument/2006/relationships/hyperlink" Target="https://farbg.eu/bg/latest/izcheznali-lic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2026-08-25T21:58:45+00:00</dcterms:created>
  <dcterms:modified xsi:type="dcterms:W3CDTF">2026-08-25T21:58:45+00:00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