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Migrationsverket website zzzzzz</w:t>
        </w:r>
      </w:hyperlink>
    </w:p>
    <w:p>
      <w:pPr/>
      <w:r>
        <w:rPr/>
        <w:t xml:space="preserve">New Swedish Migration Board website as from 5th March. The new website has a clearer information structure (e.g. understandable language) and guided navigation, including information related to the asylum procedure.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(5 March, 2025), Nu är Migrationsverkets nya webbplats lanserad [The Swedish Migration Agency's new website has now been launched],</w:t>
      </w:r>
      <w:hyperlink r:id="rId8" w:history="1">
        <w:r>
          <w:rPr>
            <w:color w:val="var(--word-link)"/>
          </w:rPr>
          <w:t xml:space="preserve">https://www.migrationsverket.se/nyhetsarkiv/nyhetsarkiv/2025-03-05-nu-ar-migrationsverkets-nya-webbplats-lanserad.html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Information provision,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A40A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migrationsverket-website" TargetMode="External"/><Relationship Id="rId8" Type="http://schemas.openxmlformats.org/officeDocument/2006/relationships/hyperlink" Target="https://www.migrationsverket.se/nyhetsarkiv/nyhetsarkiv/2025-03-05-nu-ar-migrationsverkets-nya-webbplats-lanserad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2026-05-31T08:33:34+00:00</dcterms:created>
  <dcterms:modified xsi:type="dcterms:W3CDTF">2026-05-31T08:33:34+00:00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