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approves the Asylum Emergency Measures Act and the Law introducing Two Status Systems zzzzzz</w:t>
        </w:r>
      </w:hyperlink>
    </w:p>
    <w:p>
      <w:pPr/>
      <w:r>
        <w:rPr/>
        <w:t xml:space="preserve">The Asylum Emergency Measures Act include among other measures: </w:t>
      </w:r>
    </w:p>
    <w:p>
      <w:pPr>
        <w:numPr>
          <w:ilvl w:val="0"/>
          <w:numId w:val="4"/>
        </w:numPr>
      </w:pPr>
      <w:r>
        <w:rPr/>
        <w:t xml:space="preserve">the abolition of permanent residence permits for beneficiaries of international protection; limiting the validity of a first permit based on international protection to three years;</w:t>
      </w:r>
    </w:p>
    <w:p>
      <w:pPr>
        <w:numPr>
          <w:ilvl w:val="0"/>
          <w:numId w:val="4"/>
        </w:numPr>
      </w:pPr>
      <w:r>
        <w:rPr/>
        <w:t xml:space="preserve">extending possibilities for withdrawing international protection and returning a person declared undesirable;</w:t>
      </w:r>
    </w:p>
    <w:p>
      <w:pPr>
        <w:numPr>
          <w:ilvl w:val="0"/>
          <w:numId w:val="4"/>
        </w:numPr>
      </w:pPr>
      <w:r>
        <w:rPr/>
        <w:t xml:space="preserve">stricter conditions for family reunification; the abolition of the intention procedure;</w:t>
      </w:r>
    </w:p>
    <w:p>
      <w:pPr>
        <w:numPr>
          <w:ilvl w:val="0"/>
          <w:numId w:val="4"/>
        </w:numPr>
      </w:pPr>
      <w:r>
        <w:rPr/>
        <w:t xml:space="preserve">possibility to reject applications by people who do not go to their personal interview. The two-status system differentiate between refugees and people receiving protection on other grounds, allowing for stricter criteria for family reunification for this latter group, such as a two-year waiting period, and criteria related to housing and income. </w:t>
      </w:r>
    </w:p>
    <w:p>
      <w:pPr/>
      <w:r>
        <w:rPr/>
        <w:t xml:space="preserve">The government estimates that the implementation of the laws will amount to 115 million euros. The IND requested special attention to the implementation of these new rules, and whenever possible, align it with the implementation of the Pact. It expressed its concerns that without proper preparation, the new laws may result in even longer waiting times. The organisation sees also some opportunities for more efficient procedures (such as the abolition of the intention procedure), but noted that other rules will most likely add to its workload (such as the assessment of family reunification requests based on stricter conditions).</w:t>
      </w:r>
    </w:p>
    <w:p>
      <w:pPr/>
      <w:r>
        <w:rPr>
          <w:b w:val="1"/>
          <w:bCs w:val="1"/>
        </w:rPr>
        <w:t xml:space="preserve">Source(s)</w:t>
      </w:r>
    </w:p>
    <w:p>
      <w:pPr>
        <w:numPr>
          <w:ilvl w:val="0"/>
          <w:numId w:val="5"/>
        </w:numPr>
      </w:pPr>
      <w:r>
        <w:rPr/>
        <w:t xml:space="preserve">Government | Rijksoverheid (7 March, 2025), Ministerraad: groen licht voor asielplannen minister Faber [Council of Ministers: green light for Minister Faber's asylum plans],</w:t>
      </w:r>
      <w:hyperlink r:id="rId8" w:history="1">
        <w:r>
          <w:rPr>
            <w:color w:val="var(--word-link)"/>
          </w:rPr>
          <w:t xml:space="preserve">https://www.rijksoverheid.nl/regering/nieuws/2025/03/07/ministerraad-groen-licht-voor-asielplannen-minister-faber</w:t>
        </w:r>
      </w:hyperlink>
    </w:p>
    <w:p>
      <w:pPr/>
      <w:r>
        <w:rPr>
          <w:b w:val="1"/>
          <w:bCs w:val="1"/>
        </w:rPr>
        <w:t xml:space="preserve">Date of development</w:t>
      </w:r>
    </w:p>
    <w:p>
      <w:pPr/>
      <w:r>
        <w:rPr/>
        <w:t xml:space="preserve">07.03.2025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 First instance determination, Regular procedure, Border procedure, Accelerated procedure, Personal interview, Content of protection, Forms of protection, Renewal/withdrawal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AB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E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ncil-ministers-approves-asylum-emergency-measures-act-and-law" TargetMode="External"/><Relationship Id="rId8" Type="http://schemas.openxmlformats.org/officeDocument/2006/relationships/hyperlink" Target="https://www.rijksoverheid.nl/regering/nieuws/2025/03/07/ministerraad-groen-licht-voor-asielplannen-minister-fab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2026-07-16T06:23:48+00:00</dcterms:created>
  <dcterms:modified xsi:type="dcterms:W3CDTF">2026-07-16T06:23:48+00:00</dcterms:modified>
</cp:coreProperties>
</file>

<file path=docProps/custom.xml><?xml version="1.0" encoding="utf-8"?>
<Properties xmlns="http://schemas.openxmlformats.org/officeDocument/2006/custom-properties" xmlns:vt="http://schemas.openxmlformats.org/officeDocument/2006/docPropsVTypes"/>
</file>