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IOM organises educational activities for unaccompanied minors</w:t>
        </w:r>
      </w:hyperlink>
    </w:p>
    <w:p>
      <w:pPr/>
      <w:r>
        <w:rPr/>
        <w:t xml:space="preserve">The social workers of IOM Bulgaria at the Safe Zone in the Registration and Reception Center Sofia - Voenna Rampa organised an engaging, educational activity for newly-arrived unaccompanied minors in the zone.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International Organization for Migration (7 March, 2025), [Exploring the Cyrillic Alphabet: Learning Bulgarian at the Safe Zone],</w:t>
      </w:r>
      <w:hyperlink r:id="rId8" w:history="1">
        <w:r>
          <w:rPr>
            <w:color w:val="0444c4"/>
            <w:u w:val="single"/>
          </w:rPr>
          <w:t xml:space="preserve">https://bulgaria.iom.int/news/exploring-cyrillic-alphabet-learning-bulgarian-safe-zone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DD77A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iom-organises-educational-activities-unaccompanied-minors" TargetMode="External"/><Relationship Id="rId8" Type="http://schemas.openxmlformats.org/officeDocument/2006/relationships/hyperlink" Target="https://bulgaria.iom.int/news/exploring-cyrillic-alphabet-learning-bulgarian-safe-zone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2026-08-25T13:57:00+00:00</dcterms:created>
  <dcterms:modified xsi:type="dcterms:W3CDTF">2026-08-25T13:57:00+00:00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