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Analysis of case law for 2024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State Agency for Refugees published an analysis of jurisprudence from Bulgarian courts for 2024, accessible </w:t>
      </w:r>
      <w:hyperlink r:id="rId9" w:history="1">
        <w:r>
          <w:rPr>
            <w:color w:val="0444c4"/>
            <w:u w:val="single"/>
          </w:rPr>
          <w:t xml:space="preserve">here</w:t>
        </w:r>
      </w:hyperlink>
      <w:r>
        <w:rPr/>
        <w:t xml:space="preserve">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State Agency for Refugees at the Council of Ministers | Държавната агенция за бежанците при Министерския съвет (24 March, 2025), Годишен анализ на съдебната практика за 2024 г. [Annual analysis of case law for 2024],</w:t>
      </w:r>
      <w:hyperlink r:id="rId10" w:history="1">
        <w:r>
          <w:rPr>
            <w:color w:val="0444c4"/>
            <w:u w:val="single"/>
          </w:rPr>
          <w:t xml:space="preserve">https://aref.government.bg/en/node/872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24.03.2025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Bulgaria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E4D7C1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ulgaria/analysis-case-law-2024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aref.government.bg/sites/default/files/2025-03/%d0%93%d0%be%d0%b4%d0%b8%d1%88%d0%b5%d0%bd%20%d0%b0%d0%bd%d0%b0%d0%bb%d0%b8%d0%b7%20%d0%bd%d0%b0%20%d1%81%d1%8a%d0%b4%d0%b5%d0%b1%d0%bd%d0%b0%d1%82%d0%b0%20%d0%bf%d1%80%d0%b0%d0%ba%d1%82%d0%b8%d0%ba%d0%b0_%202024%20%d0%b3.%20.pdf" TargetMode="External"/><Relationship Id="rId10" Type="http://schemas.openxmlformats.org/officeDocument/2006/relationships/hyperlink" Target="https://aref.government.bg/en/node/872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2026-10-15T06:25:40+00:00</dcterms:created>
  <dcterms:modified xsi:type="dcterms:W3CDTF">2026-10-15T06:25:40+00:00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