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factsheet compiles in eleven pages main challenges and good practices in six national guardianship systems (Slovenia, Italy, Poland, Greece, France and Slovakia) for UAMs across the EU.</w:t>
      </w:r>
    </w:p>
    <w:p>
      <w:pPr/>
      <w:r>
        <w:rPr/>
        <w:t xml:space="preserve">The report can be consulted in full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Legal Centre for the Protection of Human Rights and Environment | PIC - Pravni Center Za Varstvo Človekovih Pravic in Okolja (27 March, 2025), Kdo v šestih evropskih državah, tudi Sloveniji, skrbi za mladoletnike brez spremstva? [Who in six European countries, including Slovenia, takes care of unaccompanied minors?],</w:t>
      </w:r>
      <w:hyperlink r:id="rId9" w:history="1">
        <w:r>
          <w:rPr>
            <w:color w:val="0444c4"/>
            <w:u w:val="single"/>
          </w:rPr>
          <w:t xml:space="preserve">https://pic.si/mladoletniki-brez-spremstva-skrbnistvo/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27.03.2025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Slovenia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9322A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pic.si/wp-content/uploads/Fact-sheet-on-Guardianship_COAST_EN.pdf" TargetMode="External"/><Relationship Id="rId9" Type="http://schemas.openxmlformats.org/officeDocument/2006/relationships/hyperlink" Target="https://pic.si/mladoletniki-brez-spremstva-skrbnistvo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2026-08-26T01:56:36+00:00</dcterms:created>
  <dcterms:modified xsi:type="dcterms:W3CDTF">2026-08-26T01:56:36+00:00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