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Closure of several reception centers due to a decrease in the number of clients zzzzzz</w:t>
        </w:r>
      </w:hyperlink>
    </w:p>
    <w:p>
      <w:pPr/>
      <w:r>
        <w:rPr/>
        <w:t xml:space="preserve">The Finnish Immigration Service announced the closure of reception centers because the number of asylum applicants decreased significantly, thus clients, and more than 2,200 clients moved to a municipality in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(27 March, 2025), [Finnish Immigration Service closes down reception centres],</w:t>
      </w:r>
      <w:hyperlink r:id="rId8" w:history="1">
        <w:r>
          <w:rPr>
            <w:color w:val="var(--word-link)"/>
          </w:rPr>
          <w:t xml:space="preserve">https://migri.fi/en/-/finnish-immigration-service-closes-down-reception-centres?languageId=en_US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27.03.2025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DE50D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closure-several-reception-centers-due-decrease-number-clients" TargetMode="External"/><Relationship Id="rId8" Type="http://schemas.openxmlformats.org/officeDocument/2006/relationships/hyperlink" Target="https://migri.fi/en/-/finnish-immigration-service-closes-down-reception-centres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2026-05-31T05:33:26+00:00</dcterms:created>
  <dcterms:modified xsi:type="dcterms:W3CDTF">2026-05-31T05:33:26+00:00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