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Joint NGO analysis and recommendations on the solidarity mechanism under the EU Pact on Migration and Asylum zzzzzz</w:t>
        </w:r>
      </w:hyperlink>
    </w:p>
    <w:p>
      <w:pPr/>
      <w:r>
        <w:rPr/>
        <w:t xml:space="preserve">17 civil society organisations across the EU, including the Bulgarian Foundation for Access to Rights (FAR), have drafted a briefing highlighting the disparity in the number of asylum applications submitted across EU countries. The organizations call for a solidarity mechanism under the EU Pact on Migration and Asylum that prioritizes relocation to prevent further fragmentation and protect the rights of asylum seekers.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Foundation for Access to Rights | Фондация за достъп до права (8 April, 2025), [Joint NGO analysis and recommendations: Ensuring a fair and rights-based solidarity mechanism under the EU Pact on Migration and Asylum],</w:t>
      </w:r>
      <w:hyperlink r:id="rId8" w:history="1">
        <w:r>
          <w:rPr>
            <w:color w:val="var(--word-link)"/>
          </w:rPr>
          <w:t xml:space="preserve">https://farbg.eu/en/latest/EU-Pact-on-Migration-and-Asylum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Bulgaria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26B32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bulgaria/joint-ngo-analysis-and-recommendations-solidarity-mechanism-under-eu-pact" TargetMode="External"/><Relationship Id="rId8" Type="http://schemas.openxmlformats.org/officeDocument/2006/relationships/hyperlink" Target="https://farbg.eu/en/latest/EU-Pact-on-Migration-and-Asylu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2026-06-17T21:04:23+00:00</dcterms:created>
  <dcterms:modified xsi:type="dcterms:W3CDTF">2026-06-17T21:04:23+00:00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