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AIMA and Portuguese Bar Association sign Code of Good Practices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Agency for Integration, Migration and Asylum AIMA and the Portuguese Bar Association signed a Code of Good Practices for Lawyers and Trainee Lawyers providing services in AIMA's branch offices on 16 April 2024. </w:t>
      </w:r>
    </w:p>
    <w:p>
      <w:pPr/>
      <w:r>
        <w:rPr/>
        <w:t xml:space="preserve">This protocol marks the conclusion of a process of institutional dialogue that began several months ago and aims to streamline procedures and reduce waiting times. It also provides for specific consultation hours for lawyers and trainee lawyers.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Agency for Integration, Migration, and Asylum | Agência para a Integração Migrações e Asilo (16 April, 2025), AIMA e Ordem dos Advogados assinam Código de Boas Práticas [AIMA and the Portuguese Bar Association sign the Code of Good Practice],</w:t>
      </w:r>
      <w:hyperlink r:id="rId9" w:history="1">
        <w:r>
          <w:rPr>
            <w:color w:val="0444c4"/>
            <w:u w:val="single"/>
          </w:rPr>
          <w:t xml:space="preserve">https://aima.gov.pt/pt/noticias/aima-e-ordem-dos-advogados-assinam-protocolo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Portugal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Legal assistance and representation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320CC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rtugal/aima-and-portuguese-bar-association-sign-code-good-practic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ima.gov.pt/pt/noticias/aima-e-ordem-dos-advogados-assinam-protocolo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2026-09-15T00:11:30+00:00</dcterms:created>
  <dcterms:modified xsi:type="dcterms:W3CDTF">2026-09-15T00:11:30+00:00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