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Minister for Migration presents rules limiting applicant's use of taxis zzzzzz</w:t>
        </w:r>
      </w:hyperlink>
    </w:p>
    <w:p>
      <w:pPr/>
      <w:r>
        <w:rPr/>
        <w:t xml:space="preserve">In principle, the use of reimbursed taxis is only be permitted for acute medical situations. The COA will implement stricter controls and additional supervision from 1 June 2025. Exception can only be applied for certain agreements with the IND, and in the context of return or in emergencies.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| Rijksoverheid (23 April, 2025), Snoeien in taxiritten voor asielzoekers [Cutting back on taxi rides for asylum seekers],</w:t>
      </w:r>
      <w:hyperlink r:id="rId8" w:history="1">
        <w:r>
          <w:rPr>
            <w:color w:val="var(--word-link)"/>
          </w:rPr>
          <w:t xml:space="preserve">https://www.rijksoverheid.nl/onderwerpen/asielbeleid/nieuws/2025/04/23/snoeien-in-taxiritten-voor-asielzoekers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Material reception conditions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24527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minister-migration-presents-rules-limiting-applicants-use-taxis" TargetMode="External"/><Relationship Id="rId8" Type="http://schemas.openxmlformats.org/officeDocument/2006/relationships/hyperlink" Target="https://www.rijksoverheid.nl/onderwerpen/asielbeleid/nieuws/2025/04/23/snoeien-in-taxiritten-voor-asielzoeker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2026-07-17T13:18:58+00:00</dcterms:created>
  <dcterms:modified xsi:type="dcterms:W3CDTF">2026-07-17T13:18:58+00:00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