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The report examines the security situation for civilians across Ukraine’s 27 regions, from 28 August 2025-21 August 2026, based on incident data from ACLED (Armed Conflict Location and Event Data Project). Military casualty figures, whether Russian or Ukrainian, are excluded; the figures cover only civilian fatalities and incidents recorded as targeting civilians. </w:t>
      </w:r>
    </w:p>
    <w:p>
      <w:pPr/>
      <w:r>
        <w:rPr/>
        <w:t xml:space="preserve">According to the main findings of the report: </w:t>
      </w:r>
    </w:p>
    <w:p>
      <w:pPr>
        <w:numPr>
          <w:ilvl w:val="0"/>
          <w:numId w:val="4"/>
        </w:numPr>
      </w:pPr>
      <w:r>
        <w:rPr/>
        <w:t xml:space="preserve">During this period, 87,418 conflict incidents of all types were recorded in Ukraine. Of these, 7,465 were recorded as targeting civilians, resulting in a total of 3,492 civilian fatalities.</w:t>
      </w:r>
    </w:p>
    <w:p>
      <w:pPr>
        <w:numPr>
          <w:ilvl w:val="0"/>
          <w:numId w:val="4"/>
        </w:numPr>
      </w:pPr>
      <w:r>
        <w:rPr/>
        <w:t xml:space="preserve">The conflict is concentrated in eastern and southern Ukraine. Donetsk, Zaporizhzhia, Kherson, Kharkiv and Sumy together account for more than 83% of all recorded incidents.</w:t>
      </w:r>
    </w:p>
    <w:p>
      <w:pPr>
        <w:numPr>
          <w:ilvl w:val="0"/>
          <w:numId w:val="4"/>
        </w:numPr>
      </w:pPr>
      <w:r>
        <w:rPr/>
        <w:t xml:space="preserve">Donetsk has the highest total number of incidents and the highest number of civilian fatalities of all regions, followed by Kherson and Kharkiv.</w:t>
      </w:r>
    </w:p>
    <w:p>
      <w:pPr>
        <w:numPr>
          <w:ilvl w:val="0"/>
          <w:numId w:val="4"/>
        </w:numPr>
      </w:pPr>
      <w:r>
        <w:rPr/>
        <w:t xml:space="preserve">Residential buildings and housing are by far the most frequently affected types of civilian infrastructure, both according to ACLED’s own categorisation and a review of incident descriptions. Energy, educational and healthcare infrastructure follow.</w:t>
      </w:r>
    </w:p>
    <w:p>
      <w:pPr>
        <w:numPr>
          <w:ilvl w:val="0"/>
          <w:numId w:val="4"/>
        </w:numPr>
      </w:pPr>
      <w:r>
        <w:rPr/>
        <w:t xml:space="preserve">The number of incidents targeting civilians has generally increased over the period. Among incidents involving a Russian actor, the proportion involving air and drone attacks rose from approximately 75% to 83%, while the proportion involving artillery and missile strikes declined correspondingly.</w:t>
      </w:r>
    </w:p>
    <w:p>
      <w:pPr>
        <w:numPr>
          <w:ilvl w:val="0"/>
          <w:numId w:val="4"/>
        </w:numPr>
      </w:pPr>
      <w:r>
        <w:rPr/>
        <w:t xml:space="preserve">Attacks on energy infrastructure follow a different pattern from attacks on residential buildings, with elevated levels recorded in January 2026 and again in July 2026 </w:t>
      </w:r>
    </w:p>
    <w:p>
      <w:pPr>
        <w:numPr>
          <w:ilvl w:val="0"/>
          <w:numId w:val="4"/>
        </w:numPr>
      </w:pPr>
      <w:r>
        <w:rPr/>
        <w:t xml:space="preserve">In Crimea and Luhansk, which have been under Russian occupation throughout or for much of the period, information on civilian casualties comes predominantly from Russian sources.</w:t>
      </w:r>
    </w:p>
    <w:p>
      <w:pPr>
        <w:numPr>
          <w:ilvl w:val="0"/>
          <w:numId w:val="4"/>
        </w:numPr>
      </w:pPr>
      <w:r>
        <w:rPr/>
        <w:t xml:space="preserve">All 27 regions are examined individually, including those outside the areas most heavily affected by the conflict. At least one documented incident targeting civilians during the period is recorded for every region.</w:t>
      </w:r>
    </w:p>
    <w:p>
      <w:pPr/>
      <w:r>
        <w:rPr/>
        <w:t xml:space="preserve"> </w:t>
      </w:r>
    </w:p>
    <w:p>
      <w:pPr/>
      <w:r>
        <w:rPr>
          <w:b w:val="1"/>
          <w:bCs w:val="1"/>
        </w:rPr>
        <w:t xml:space="preserve">Source(s)</w:t>
      </w:r>
    </w:p>
    <w:p>
      <w:pPr>
        <w:numPr>
          <w:ilvl w:val="0"/>
          <w:numId w:val="5"/>
        </w:numPr>
      </w:pPr>
      <w:r>
        <w:rPr/>
        <w:t xml:space="preserve">Danish Immigration Service | Udlændingestyrelsen (16 September, 2026), Sikkerhedssituationen for civile i Ukraines regioner [The security situation for civilians in the regions of Ukraine],</w:t>
      </w:r>
      <w:hyperlink r:id="rId8" w:history="1">
        <w:r>
          <w:rPr>
            <w:color w:val="0444c4"/>
            <w:u w:val="single"/>
          </w:rPr>
          <w:t xml:space="preserve">https://us.dk/media/0cjd5ygb/ukraine-sikkerhedsopdateringer.pdf</w:t>
        </w:r>
      </w:hyperlink>
    </w:p>
    <w:p>
      <w:pPr/>
      <w:r>
        <w:rPr>
          <w:b w:val="1"/>
          <w:bCs w:val="1"/>
        </w:rPr>
        <w:t xml:space="preserve">Date of development</w:t>
      </w:r>
    </w:p>
    <w:p>
      <w:pPr/>
      <w:r>
        <w:rPr/>
        <w:t xml:space="preserve">16.09.2026</w:t>
      </w:r>
    </w:p>
    <w:p>
      <w:pPr/>
      <w:r>
        <w:rPr>
          <w:b w:val="1"/>
          <w:bCs w:val="1"/>
        </w:rPr>
        <w:t xml:space="preserve">Country</w:t>
      </w:r>
    </w:p>
    <w:p>
      <w:pPr/>
      <w:r>
        <w:rPr/>
        <w:t xml:space="preserve">Denmark</w:t>
      </w:r>
    </w:p>
    <w:p>
      <w:pPr/>
      <w:r>
        <w:rPr>
          <w:b w:val="1"/>
          <w:bCs w:val="1"/>
        </w:rPr>
        <w:t xml:space="preserve">Thematic area(s)</w:t>
      </w:r>
    </w:p>
    <w:p>
      <w:pPr/>
      <w:r>
        <w:rPr/>
        <w:t xml:space="preserve">COI, Temporary Protection</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4A62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E31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us.dk/media/0cjd5ygb/ukraine-sikkerhedsopdateringer.pdf"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2026-10-30T00:44:15+00:00</dcterms:created>
  <dcterms:modified xsi:type="dcterms:W3CDTF">2026-10-30T00:44:15+00:00</dcterms:modified>
</cp:coreProperties>
</file>

<file path=docProps/custom.xml><?xml version="1.0" encoding="utf-8"?>
<Properties xmlns="http://schemas.openxmlformats.org/officeDocument/2006/custom-properties" xmlns:vt="http://schemas.openxmlformats.org/officeDocument/2006/docPropsVTypes"/>
</file>