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EU Commission proposes reform of Frontex with expanded mandate</w:t>
        </w:r>
      </w:hyperlink>
    </w:p>
    <w:p>
      <w:pPr/>
      <w:r>
        <w:rPr/>
        <w:t xml:space="preserve">The European Commission proposed </w:t>
      </w:r>
      <w:hyperlink r:id="rId8" w:history="1">
        <w:r>
          <w:rPr>
            <w:color w:val="0444c4"/>
            <w:u w:val="single"/>
          </w:rPr>
          <w:t xml:space="preserve">a new Frontex Regulation</w:t>
        </w:r>
      </w:hyperlink>
      <w:r>
        <w:rPr/>
        <w:t xml:space="preserve"> aimed at making it the EU’s central operational actor for external border management and returns. </w:t>
      </w:r>
    </w:p>
    <w:p>
      <w:pPr/>
      <w:r>
        <w:rPr/>
        <w:t xml:space="preserve">Under the new regulation, the mandate of Frontex will be reinforced by increasing Frontex’s resources, gradually increasing standing corps to 30,000 officers, including a new European border and return reserve.</w:t>
      </w:r>
      <w:br/>
      <w:r>
        <w:rPr/>
        <w:t xml:space="preserve"> </w:t>
      </w:r>
      <w:br/>
      <w:r>
        <w:rPr/>
        <w:t xml:space="preserve">Also, Frontex will manage return operations through a dedicated Return Coordination Centre and allowing the Agency to support and conduct returns from third countries under specific agreements. Moreover, the new rules provides for the creation of  a Quick Reaction Force for rapid deployment during border emergencies and crises and improving information exchange obligations in crisis situations through the </w:t>
      </w:r>
      <w:hyperlink r:id="rId9" w:history="1">
        <w:r>
          <w:rPr>
            <w:color w:val="0444c4"/>
            <w:u w:val="single"/>
          </w:rPr>
          <w:t xml:space="preserve">EUROSUR</w:t>
        </w:r>
      </w:hyperlink>
      <w:r>
        <w:rPr/>
        <w:t xml:space="preserve"> network.</w:t>
      </w:r>
      <w:br/>
      <w:br/>
      <w:r>
        <w:rPr/>
        <w:t xml:space="preserve">The proposed Frontex Regulation will also establish an Online Monitoring and Response Centre to detect developments relevant for external border management, including social media content and emerging border security risks.</w:t>
      </w:r>
      <w:br/>
      <w:br/>
      <w:r>
        <w:rPr/>
        <w:t xml:space="preserve">In terms of digitalisation, Frontex will be able to acquire and co-own equipment to carry out procurement with the Member States, also for digital and AI tools, as well as in light of the new Return Regulation, a separate </w:t>
      </w:r>
      <w:hyperlink r:id="rId10" w:history="1">
        <w:r>
          <w:rPr>
            <w:color w:val="0444c4"/>
            <w:u w:val="single"/>
          </w:rPr>
          <w:t xml:space="preserve">regulation to digitalise return, readmission and reintegration procedures across the EU</w:t>
        </w:r>
      </w:hyperlink>
      <w:r>
        <w:rPr/>
        <w:t xml:space="preserve"> will be established, improving data exchange and accelerating return processes across the EU.</w:t>
      </w:r>
    </w:p>
    <w:p>
      <w:pPr/>
      <w:r>
        <w:rPr/>
        <w:t xml:space="preserve">The proposals implement commitments made under the EU's 2024-2029 political guidelines and now require approval by the European Parliament and the Council before entering into force.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Commission (27 October, 2026), [Commission proposes a stronger Frontex: more resources, a greater role on returns and effective crisis response],</w:t>
      </w:r>
      <w:hyperlink r:id="rId11" w:history="1">
        <w:r>
          <w:rPr>
            <w:color w:val="0444c4"/>
            <w:u w:val="single"/>
          </w:rPr>
          <w:t xml:space="preserve">https://home-affairs.ec.europa.eu/news/commission-proposes-stronger-frontex-more-resources-greater-role-returns-and-effective-crisis-2026-10-27_en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2" w:history="1">
        <w:r>
          <w:rPr>
            <w:color w:val="0444c4"/>
            <w:u w:val="single"/>
          </w:rPr>
          <w:t xml:space="preserve">Council of the EU adopts new rules on return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Digitalisation,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D4AE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eu-commission-proposes-reform-frontex-expanded-mandate" TargetMode="External"/><Relationship Id="rId8" Type="http://schemas.openxmlformats.org/officeDocument/2006/relationships/hyperlink" Target="https://home-affairs.ec.europa.eu/document/regulation-amending-european-border-and-coast-guard-regulation_en" TargetMode="External"/><Relationship Id="rId9" Type="http://schemas.openxmlformats.org/officeDocument/2006/relationships/hyperlink" Target="https://home-affairs.ec.europa.eu/policies/schengen/eurosur_en" TargetMode="External"/><Relationship Id="rId10" Type="http://schemas.openxmlformats.org/officeDocument/2006/relationships/hyperlink" Target="https://home-affairs.ec.europa.eu/document/regulation-digitalisation-case-management-area-return-readmission-and-reintegration_en" TargetMode="External"/><Relationship Id="rId11" Type="http://schemas.openxmlformats.org/officeDocument/2006/relationships/hyperlink" Target="https://home-affairs.ec.europa.eu/news/commission-proposes-stronger-frontex-more-resources-greater-role-returns-and-effective-crisis-2026-10-27_en" TargetMode="External"/><Relationship Id="rId12" Type="http://schemas.openxmlformats.org/officeDocument/2006/relationships/hyperlink" Target="/developments/european-union/council-eu-adopts-new-rules-return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2026-10-30T00:44:15+00:00</dcterms:created>
  <dcterms:modified xsi:type="dcterms:W3CDTF">2026-10-30T00:44:15+00:00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