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Changes in health insurance for beneficiaries of international protection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As of 12 June 2026, beneficiaries of international protection will still participate in public health insurance, but no longer as state-insured persons in the sense of a separate category, as defined in Section 7(1)(o) of the Czech Act No. 48/1997 Coll. (Act on Public Health Insurance). </w:t>
      </w:r>
    </w:p>
    <w:p>
      <w:pPr/>
      <w:r>
        <w:rPr/>
        <w:t xml:space="preserve">For adults, if a refugee or beneficiary of subsidiary protection is not employed, self-employed or if they do not fall into the category of state insured-persons for a reason other than what is stated in Section 7(1)(o) of Act No. 48/1997 Coll., they are a person without taxable income for health insurance purposes and must pay for their health insurance themselves. </w:t>
      </w:r>
    </w:p>
    <w:p>
      <w:pPr/>
      <w:r>
        <w:rPr/>
        <w:t xml:space="preserve">Unemployed refugees or beneficiaries of subsidiary protection can be registered with the Employment Office as job seekers during their unemployment period and, then, they are state-insured.</w:t>
      </w:r>
    </w:p>
    <w:p>
      <w:pPr/>
      <w:r>
        <w:rPr/>
        <w:t xml:space="preserve">Minors remain in the state-insured regime if they are a dependent child within the meaning of Section 7(1)(a) of Act No. 48/1997 Coll.</w:t>
      </w:r>
    </w:p>
    <w:p>
      <w:pPr/>
      <w:r>
        <w:rPr/>
        <w:t xml:space="preserve">The Ministry of the Interior indicated that the affected persons will be informed about the change in the health insurance regime and will be provided with information on further action.</w:t>
      </w:r>
    </w:p>
    <w:p>
      <w:pPr/>
      <w:r>
        <w:rPr/>
        <w:t xml:space="preserve">More information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 under ‘Health and Social Area’, and </w:t>
      </w:r>
      <w:hyperlink r:id="rId10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Interior of the Czech Republic, Refugee Facilities Administration | Ministerstvo vnitra České republiky, Správa uprchlických zařízení (5 June, 2026), Newsletter CPIC Jihočeský kraj – Červen 2026 [Newsletter CPIC South Bohemian Region – June 2026],</w:t>
      </w:r>
      <w:hyperlink r:id="rId9" w:history="1">
        <w:r>
          <w:rPr>
            <w:color w:val="0444c4"/>
            <w:u w:val="single"/>
          </w:rPr>
          <w:t xml:space="preserve">https://www.integracnicentra.cz/newsletter/newsletter-2/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Czechia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Material reception conditions, Forms of protection, Content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EE5E7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zechia/changes-health-insurance-beneficiaries-international-protec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tegracnicentra.cz/newsletter/newsletter-2/" TargetMode="External"/><Relationship Id="rId10" Type="http://schemas.openxmlformats.org/officeDocument/2006/relationships/hyperlink" Target="https://www.vzp.cz/platci/informace/stat/za-koho-plati-pojistne-stat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2026-10-30T01:46:07+00:00</dcterms:created>
  <dcterms:modified xsi:type="dcterms:W3CDTF">2026-10-30T01:46:07+00:00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