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the Interior submits slightly higher budget proposal for 2027</w:t>
        </w:r>
      </w:hyperlink>
    </w:p>
    <w:p>
      <w:pPr/>
      <w:r>
        <w:rPr/>
        <w:t xml:space="preserve">The Ministry of the Interior submitted a budget proposal for 2027, with a slight increase of 7% compared to 2026. The proposal takes into account the current resources, the improvement in returns and foreseeable large savings on immigration and reception costs. </w:t>
      </w:r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(6 August, 2026), [Ministry of the Interior's administrative sector budget proposal for 2027],</w:t>
      </w:r>
      <w:hyperlink r:id="rId8" w:history="1">
        <w:r>
          <w:rPr>
            <w:color w:val="0444c4"/>
            <w:u w:val="single"/>
          </w:rPr>
          <w:t xml:space="preserve">Sisäministeriön hallinnonalan talousarvioehdotus vuodelle 2027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E9788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ministry-interior-submits-slightly-higher-budget-proposal-2027" TargetMode="External"/><Relationship Id="rId8" Type="http://schemas.openxmlformats.org/officeDocument/2006/relationships/hyperlink" Target="https://intermin.fi/-/sisaministerion-hallinnonalan-talousarvioehdotus-vuodelle-2027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2026-10-30T05:44:10+00:00</dcterms:created>
  <dcterms:modified xsi:type="dcterms:W3CDTF">2026-10-30T05:44:10+00:00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