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hyperlink r:id="rId7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Ministry of the Interior has submitted a budget proposal for 2027, with a slight increase of 7% compared to 2026. The proposal takes into account the current resources, the improvement efficiency of returns and foreseeable large savings on immigration and reception costs. </w:t>
      </w:r>
      <w:r>
        <w:rPr/>
        <w:t xml:space="preserve">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Ministry of the Interior | Sisäministeriö (6 August, 2026), [Ministry of the Interior's administrative sector budget proposal for 2027],</w:t>
      </w:r>
      <w:hyperlink r:id="rId8" w:history="1">
        <w:r>
          <w:rPr>
            <w:color w:val="0444c4"/>
            <w:u w:val="single"/>
          </w:rPr>
          <w:t xml:space="preserve">Sisäministeriön hallinnonalan talousarvioehdotus vuodelle 2027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06.08.2026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Finland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Institutional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0571EDB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velopments" TargetMode="External"/><Relationship Id="rId8" Type="http://schemas.openxmlformats.org/officeDocument/2006/relationships/hyperlink" Target="https://intermin.fi/-/sisaministerion-hallinnonalan-talousarvioehdotus-vuodelle-2027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2026-09-14T20:55:57+00:00</dcterms:created>
  <dcterms:modified xsi:type="dcterms:W3CDTF">2026-09-14T20:55:57+00:00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