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IOM Poland publishes migration statistics dashboard with a strong focus on Ukrainian Temporary Protection Holders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IOM Poland has </w:t>
      </w:r>
      <w:hyperlink r:id="rId9" w:history="1">
        <w:r>
          <w:rPr>
            <w:color w:val="0444c4"/>
            <w:u w:val="single"/>
          </w:rPr>
          <w:t xml:space="preserve">published a dashboard</w:t>
        </w:r>
      </w:hyperlink>
      <w:r>
        <w:rPr/>
        <w:t xml:space="preserve"> with publicly available statistical data on third-country nationals in Poland, with a particular focus on Ukrainian Temporary Protection holders. The dashboard includes a population map and timeline, age and gender distribution, and analyses of border crossings and applications for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Organization for Migration (8 July, 2026), [Migration Statistics Dashboard],</w:t>
      </w:r>
      <w:hyperlink r:id="rId9" w:history="1">
        <w:r>
          <w:rPr>
            <w:color w:val="0444c4"/>
            <w:u w:val="single"/>
          </w:rPr>
          <w:t xml:space="preserve">https://poland.iom.int/pl/data-and-research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BA54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iom-poland-publishes-migration-statistics-dashboard-strong-focus-ukraini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oland.iom.int/pl/data-and-research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2026-09-14T21:33:37+00:00</dcterms:created>
  <dcterms:modified xsi:type="dcterms:W3CDTF">2026-09-14T21:33:37+00:00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