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Estonian Human Rights Centre concluded a 3-year framework agreement with the Police and Border Guard Board for the provision of legal counselling to applicants for international protection. The Human Rights Centre employs three full-time lawyers who, in addition to providing legal counselling, also represent people in court proceedings, when necessary.</w:t>
      </w:r>
    </w:p>
    <w:p>
      <w:pPr/>
      <w:r>
        <w:rPr/>
        <w:t xml:space="preserve">The Police and Border Guard Board procures the service under the project “AMIF.1.01.25-0015 – Special Measure under the Migration and Asylum Pact: Provision of Legal Services in International Protection and Court Proceedings”.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Estonian Human Rights Centre | Eesti Inimõiguste Keskus (12 August, 2026), Inimõiguste keskus alustas koostööd Politsei- ja Piirivalveametiga [Human Rights Centre begins cooperation with the Police and Border Guard Board],</w:t>
      </w:r>
      <w:hyperlink r:id="rId8" w:history="1">
        <w:r>
          <w:rPr>
            <w:color w:val="0444c4"/>
            <w:u w:val="single"/>
          </w:rPr>
          <w:t xml:space="preserve">https://humanrights.ee/2026/08/inimoiguste-keskus-alustas-koostood-politsei-ja-piirivalveametiga/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Estonia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Legal assistance and representation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3A5B4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humanrights.ee/2026/08/inimoiguste-keskus-alustas-koostood-politsei-ja-piirivalveametiga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2026-08-25T05:18:41+00:00</dcterms:created>
  <dcterms:modified xsi:type="dcterms:W3CDTF">2026-08-25T05:18:41+00:00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