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Statistics Norway reported that 45% of working-age displaced Ukrainians in Norway (23,230 people aged 20–66) were employed, an increase of around 6,000 compared to May 2025. </w:t>
      </w:r>
    </w:p>
    <w:p>
      <w:pPr/>
      <w:r>
        <w:rPr/>
        <w:t xml:space="preserve">Troms became the first county to exceed a 50% employment rate among displaced Ukrainians. The government attributed the increase to participation in the introduction programme, including the 2025 requirement of at least 15 hours of work-oriented activities per week, as well as language training, work experience and longer residence in Norway.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Labour and Social Inclusion | Arbeids- og inkluderingsdepartementet (10 July, 2026), Nærmere halvparten av ukrainerne er i jobb [Almost half of Ukrainians are in work],</w:t>
      </w:r>
      <w:hyperlink r:id="rId8" w:history="1">
        <w:r>
          <w:rPr>
            <w:color w:val="0444c4"/>
            <w:u w:val="single"/>
          </w:rPr>
          <w:t xml:space="preserve">https://www.regjeringen.no/no/aktuelt/narmere-halvparten-av-ukrainerne-er-i-jobb/id3169022/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Integration,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EEB58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regjeringen.no/no/aktuelt/narmere-halvparten-av-ukrainerne-er-i-jobb/id3169022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2026-08-25T05:18:32+00:00</dcterms:created>
  <dcterms:modified xsi:type="dcterms:W3CDTF">2026-08-25T05:18:32+00:00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