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UDI to reduce capacity by 550 places across reception centres zzzzzz</w:t>
        </w:r>
      </w:hyperlink>
    </w:p>
    <w:p>
      <w:pPr/>
      <w:hyperlink r:id="rId8" w:history="1">
        <w:r>
          <w:rPr>
            <w:color w:val="var(--word-link)"/>
          </w:rPr>
          <w:t xml:space="preserve"> Go back to timeline</w:t>
        </w:r>
      </w:hyperlink>
    </w:p>
    <w:p>
      <w:pPr/>
      <w:r>
        <w:rPr/>
        <w:t xml:space="preserve">The Norwegian Directorate of Immigration (UDI) announced a reduction in asylum reception capacity following lower-than-expected numbers of asylum applicants during the summer, while municipalities have continued to settle a high number of people granted residence permits. To align capacity with current needs, the UDI will reduce capacity by 550 places across 22 asylum reception centres (25 places per centre) rather than closing entire facilities. The reductions will take effect on 9 October 2026, following the 3-month contractual notice period. Below is an overview of the various reception centres and capacity after the reduction:</w:t>
      </w:r>
    </w:p>
    <w:tbl>
      <w:tblGrid>
        <w:gridCol/>
        <w:gridCol/>
        <w:gridCol/>
      </w:tblGrid>
      <w:tblPr>
        <w:tblW w:w="9072" w:type="dxa"/>
        <w:tblCellSpacing w:w="0"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cPr>
        <w:shd w:val="clear" w:fill="white"/>
      </w:tcPr>
      <w:tr>
        <w:trPr>
          <w:tblHeader w:val="1"/>
        </w:trPr>
        <w:tc>
          <w:tcPr>
            <w:tcW w:w="3024" w:type="dxa"/>
            <w:shd w:val="clear" w:fill="white"/>
            <w:noWrap/>
          </w:tcPr>
          <w:p>
            <w:pPr/>
            <w:r>
              <w:rPr>
                <w:shd w:val="clear" w:fill="white"/>
              </w:rPr>
              <w:t xml:space="preserve">Reception name</w:t>
            </w:r>
          </w:p>
        </w:tc>
        <w:tc>
          <w:tcPr>
            <w:tcW w:w="3024" w:type="dxa"/>
            <w:shd w:val="clear" w:fill="white"/>
            <w:noWrap/>
          </w:tcPr>
          <w:p>
            <w:pPr/>
            <w:r>
              <w:rPr>
                <w:shd w:val="clear" w:fill="white"/>
              </w:rPr>
              <w:t xml:space="preserve">Capacity from 09.10.26</w:t>
            </w:r>
          </w:p>
        </w:tc>
        <w:tc>
          <w:tcPr>
            <w:tcW w:w="3024" w:type="dxa"/>
            <w:shd w:val="clear" w:fill="white"/>
            <w:noWrap/>
          </w:tcPr>
          <w:p>
            <w:pPr/>
            <w:r>
              <w:rPr>
                <w:shd w:val="clear" w:fill="white"/>
              </w:rPr>
              <w:t xml:space="preserve">Municipality</w:t>
            </w:r>
          </w:p>
        </w:tc>
      </w:tr>
      <w:tr>
        <w:trPr/>
        <w:tc>
          <w:tcPr>
            <w:tcW w:w="3024" w:type="dxa"/>
            <w:shd w:val="clear" w:fill="white"/>
            <w:noWrap/>
          </w:tcPr>
          <w:p>
            <w:pPr/>
            <w:r>
              <w:rPr>
                <w:shd w:val="clear" w:fill="white"/>
              </w:rPr>
              <w:t xml:space="preserve">Porsgrunn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Porsgrunn</w:t>
            </w:r>
          </w:p>
        </w:tc>
      </w:tr>
      <w:tr>
        <w:trPr/>
        <w:tc>
          <w:tcPr>
            <w:tcW w:w="3024" w:type="dxa"/>
            <w:shd w:val="clear" w:fill="white"/>
            <w:noWrap/>
          </w:tcPr>
          <w:p>
            <w:pPr/>
            <w:r>
              <w:rPr>
                <w:shd w:val="clear" w:fill="white"/>
              </w:rPr>
              <w:t xml:space="preserve">Håkvik</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Narvik</w:t>
            </w:r>
          </w:p>
        </w:tc>
      </w:tr>
      <w:tr>
        <w:trPr/>
        <w:tc>
          <w:tcPr>
            <w:tcW w:w="3024" w:type="dxa"/>
            <w:shd w:val="clear" w:fill="white"/>
            <w:noWrap/>
          </w:tcPr>
          <w:p>
            <w:pPr/>
            <w:r>
              <w:rPr>
                <w:shd w:val="clear" w:fill="white"/>
              </w:rPr>
              <w:t xml:space="preserve">Ofoten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Narvik</w:t>
            </w:r>
          </w:p>
        </w:tc>
      </w:tr>
      <w:tr>
        <w:trPr/>
        <w:tc>
          <w:tcPr>
            <w:tcW w:w="3024" w:type="dxa"/>
            <w:shd w:val="clear" w:fill="white"/>
            <w:noWrap/>
          </w:tcPr>
          <w:p>
            <w:pPr/>
            <w:r>
              <w:rPr>
                <w:shd w:val="clear" w:fill="white"/>
              </w:rPr>
              <w:t xml:space="preserve">Gibbostad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Senja</w:t>
            </w:r>
          </w:p>
        </w:tc>
      </w:tr>
      <w:tr>
        <w:trPr/>
        <w:tc>
          <w:tcPr>
            <w:tcW w:w="3024" w:type="dxa"/>
            <w:shd w:val="clear" w:fill="white"/>
            <w:noWrap/>
          </w:tcPr>
          <w:p>
            <w:pPr/>
            <w:r>
              <w:rPr>
                <w:shd w:val="clear" w:fill="white"/>
              </w:rPr>
              <w:t xml:space="preserve">Revetal</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Tønsberg</w:t>
            </w:r>
          </w:p>
        </w:tc>
      </w:tr>
      <w:tr>
        <w:trPr/>
        <w:tc>
          <w:tcPr>
            <w:tcW w:w="3024" w:type="dxa"/>
            <w:shd w:val="clear" w:fill="white"/>
            <w:noWrap/>
          </w:tcPr>
          <w:p>
            <w:pPr/>
            <w:r>
              <w:rPr>
                <w:shd w:val="clear" w:fill="white"/>
              </w:rPr>
              <w:t xml:space="preserve">Nord Fron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Nord-Fron</w:t>
            </w:r>
          </w:p>
        </w:tc>
      </w:tr>
      <w:tr>
        <w:trPr/>
        <w:tc>
          <w:tcPr>
            <w:tcW w:w="3024" w:type="dxa"/>
            <w:shd w:val="clear" w:fill="white"/>
            <w:noWrap/>
          </w:tcPr>
          <w:p>
            <w:pPr/>
            <w:r>
              <w:rPr>
                <w:shd w:val="clear" w:fill="white"/>
              </w:rPr>
              <w:t xml:space="preserve">Eels ordinary</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Eel</w:t>
            </w:r>
          </w:p>
        </w:tc>
      </w:tr>
      <w:tr>
        <w:trPr/>
        <w:tc>
          <w:tcPr>
            <w:tcW w:w="3024" w:type="dxa"/>
            <w:shd w:val="clear" w:fill="white"/>
            <w:noWrap/>
          </w:tcPr>
          <w:p>
            <w:pPr/>
            <w:r>
              <w:rPr>
                <w:shd w:val="clear" w:fill="white"/>
              </w:rPr>
              <w:t xml:space="preserve">Home</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Home</w:t>
            </w:r>
          </w:p>
        </w:tc>
      </w:tr>
      <w:tr>
        <w:trPr/>
        <w:tc>
          <w:tcPr>
            <w:tcW w:w="3024" w:type="dxa"/>
            <w:shd w:val="clear" w:fill="white"/>
            <w:noWrap/>
          </w:tcPr>
          <w:p>
            <w:pPr/>
            <w:r>
              <w:rPr>
                <w:shd w:val="clear" w:fill="white"/>
              </w:rPr>
              <w:t xml:space="preserve">Sunndal</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Sunndal</w:t>
            </w:r>
          </w:p>
        </w:tc>
      </w:tr>
      <w:tr>
        <w:trPr/>
        <w:tc>
          <w:tcPr>
            <w:tcW w:w="3024" w:type="dxa"/>
            <w:shd w:val="clear" w:fill="white"/>
            <w:noWrap/>
          </w:tcPr>
          <w:p>
            <w:pPr/>
            <w:r>
              <w:rPr>
                <w:shd w:val="clear" w:fill="white"/>
              </w:rPr>
              <w:t xml:space="preserve">Lødingen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Lødingen</w:t>
            </w:r>
          </w:p>
        </w:tc>
      </w:tr>
      <w:tr>
        <w:trPr/>
        <w:tc>
          <w:tcPr>
            <w:tcW w:w="3024" w:type="dxa"/>
            <w:shd w:val="clear" w:fill="white"/>
            <w:noWrap/>
          </w:tcPr>
          <w:p>
            <w:pPr/>
            <w:r>
              <w:rPr>
                <w:shd w:val="clear" w:fill="white"/>
              </w:rPr>
              <w:t xml:space="preserve">Sulitjelma</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Fauske</w:t>
            </w:r>
          </w:p>
        </w:tc>
      </w:tr>
      <w:tr>
        <w:trPr/>
        <w:tc>
          <w:tcPr>
            <w:tcW w:w="3024" w:type="dxa"/>
            <w:shd w:val="clear" w:fill="white"/>
            <w:noWrap/>
          </w:tcPr>
          <w:p>
            <w:pPr/>
            <w:r>
              <w:rPr>
                <w:shd w:val="clear" w:fill="white"/>
              </w:rPr>
              <w:t xml:space="preserve">Tjeldsund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Tjeldsund</w:t>
            </w:r>
          </w:p>
        </w:tc>
      </w:tr>
      <w:tr>
        <w:trPr/>
        <w:tc>
          <w:tcPr>
            <w:tcW w:w="3024" w:type="dxa"/>
            <w:shd w:val="clear" w:fill="white"/>
            <w:noWrap/>
          </w:tcPr>
          <w:p>
            <w:pPr/>
            <w:r>
              <w:rPr>
                <w:shd w:val="clear" w:fill="white"/>
              </w:rPr>
              <w:t xml:space="preserve">Evje</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Evje and Hornes</w:t>
            </w:r>
          </w:p>
        </w:tc>
      </w:tr>
      <w:tr>
        <w:trPr/>
        <w:tc>
          <w:tcPr>
            <w:tcW w:w="3024" w:type="dxa"/>
            <w:shd w:val="clear" w:fill="white"/>
            <w:noWrap/>
          </w:tcPr>
          <w:p>
            <w:pPr/>
            <w:r>
              <w:rPr>
                <w:shd w:val="clear" w:fill="white"/>
              </w:rPr>
              <w:t xml:space="preserve">Farsund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Farsund</w:t>
            </w:r>
          </w:p>
        </w:tc>
      </w:tr>
      <w:tr>
        <w:trPr/>
        <w:tc>
          <w:tcPr>
            <w:tcW w:w="3024" w:type="dxa"/>
            <w:shd w:val="clear" w:fill="white"/>
            <w:noWrap/>
          </w:tcPr>
          <w:p>
            <w:pPr/>
            <w:r>
              <w:rPr>
                <w:shd w:val="clear" w:fill="white"/>
              </w:rPr>
              <w:t xml:space="preserve">Courtyard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Holmestrand</w:t>
            </w:r>
          </w:p>
        </w:tc>
      </w:tr>
      <w:tr>
        <w:trPr/>
        <w:tc>
          <w:tcPr>
            <w:tcW w:w="3024" w:type="dxa"/>
            <w:shd w:val="clear" w:fill="white"/>
            <w:noWrap/>
          </w:tcPr>
          <w:p>
            <w:pPr/>
            <w:r>
              <w:rPr>
                <w:shd w:val="clear" w:fill="white"/>
              </w:rPr>
              <w:t xml:space="preserve">List</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Farsund</w:t>
            </w:r>
          </w:p>
        </w:tc>
      </w:tr>
      <w:tr>
        <w:trPr/>
        <w:tc>
          <w:tcPr>
            <w:tcW w:w="3024" w:type="dxa"/>
            <w:shd w:val="clear" w:fill="white"/>
            <w:noWrap/>
          </w:tcPr>
          <w:p>
            <w:pPr/>
            <w:r>
              <w:rPr>
                <w:shd w:val="clear" w:fill="white"/>
              </w:rPr>
              <w:t xml:space="preserve">Skien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Skien</w:t>
            </w:r>
          </w:p>
        </w:tc>
      </w:tr>
      <w:tr>
        <w:trPr/>
        <w:tc>
          <w:tcPr>
            <w:tcW w:w="3024" w:type="dxa"/>
            <w:shd w:val="clear" w:fill="white"/>
            <w:noWrap/>
          </w:tcPr>
          <w:p>
            <w:pPr/>
            <w:r>
              <w:rPr>
                <w:shd w:val="clear" w:fill="white"/>
              </w:rPr>
              <w:t xml:space="preserve">Voss</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Voss</w:t>
            </w:r>
          </w:p>
        </w:tc>
      </w:tr>
      <w:tr>
        <w:trPr/>
        <w:tc>
          <w:tcPr>
            <w:tcW w:w="3024" w:type="dxa"/>
            <w:shd w:val="clear" w:fill="white"/>
            <w:noWrap/>
          </w:tcPr>
          <w:p>
            <w:pPr/>
            <w:r>
              <w:rPr>
                <w:shd w:val="clear" w:fill="white"/>
              </w:rPr>
              <w:t xml:space="preserve">Soldier</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Soldier</w:t>
            </w:r>
          </w:p>
        </w:tc>
      </w:tr>
      <w:tr>
        <w:trPr/>
        <w:tc>
          <w:tcPr>
            <w:tcW w:w="3024" w:type="dxa"/>
            <w:shd w:val="clear" w:fill="white"/>
            <w:noWrap/>
          </w:tcPr>
          <w:p>
            <w:pPr/>
            <w:r>
              <w:rPr>
                <w:shd w:val="clear" w:fill="white"/>
              </w:rPr>
              <w:t xml:space="preserve">Gjerdrum</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Gjerdrum</w:t>
            </w:r>
          </w:p>
        </w:tc>
      </w:tr>
      <w:tr>
        <w:trPr/>
        <w:tc>
          <w:tcPr>
            <w:tcW w:w="3024" w:type="dxa"/>
            <w:shd w:val="clear" w:fill="white"/>
            <w:noWrap/>
          </w:tcPr>
          <w:p>
            <w:pPr/>
            <w:r>
              <w:rPr>
                <w:shd w:val="clear" w:fill="white"/>
              </w:rPr>
              <w:t xml:space="preserve">Salt</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Salt</w:t>
            </w:r>
          </w:p>
        </w:tc>
      </w:tr>
      <w:tr>
        <w:trPr/>
        <w:tc>
          <w:tcPr>
            <w:tcW w:w="3024" w:type="dxa"/>
            <w:shd w:val="clear" w:fill="white"/>
            <w:noWrap/>
          </w:tcPr>
          <w:p>
            <w:pPr/>
            <w:r>
              <w:rPr>
                <w:shd w:val="clear" w:fill="white"/>
              </w:rPr>
              <w:t xml:space="preserve">Southern Land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Southern Land</w:t>
            </w:r>
          </w:p>
        </w:tc>
      </w:tr>
    </w:tbl>
    <w:p>
      <w:pPr/>
      <w:r>
        <w:rPr/>
        <w:t xml:space="preserve"> </w:t>
      </w:r>
    </w:p>
    <w:p>
      <w:pPr/>
      <w:r>
        <w:rPr/>
        <w:t xml:space="preserve"> </w:t>
      </w:r>
    </w:p>
    <w:p>
      <w:pPr/>
      <w:r>
        <w:rPr>
          <w:b w:val="1"/>
          <w:bCs w:val="1"/>
        </w:rPr>
        <w:t xml:space="preserve">Source(s)</w:t>
      </w:r>
    </w:p>
    <w:p>
      <w:pPr>
        <w:numPr>
          <w:ilvl w:val="0"/>
          <w:numId w:val="4"/>
        </w:numPr>
      </w:pPr>
      <w:r>
        <w:rPr/>
        <w:t xml:space="preserve">Norwegian Directorate of Immigration | Utlendingsdirektoratet (14 July, 2026), Sier opp 550 mottaksplasser [Terminating 550 reception centre places],</w:t>
      </w:r>
      <w:hyperlink r:id="rId9" w:history="1">
        <w:r>
          <w:rPr>
            <w:color w:val="var(--word-link)"/>
          </w:rPr>
          <w:t xml:space="preserve">https://www.udi.no/aktuelt/sier-opp-550-mottaksplasser/</w:t>
        </w:r>
      </w:hyperlink>
    </w:p>
    <w:p>
      <w:pPr/>
      <w:r>
        <w:rPr>
          <w:b w:val="1"/>
          <w:bCs w:val="1"/>
        </w:rPr>
        <w:t xml:space="preserve">Date of development</w:t>
      </w:r>
    </w:p>
    <w:p>
      <w:pPr/>
      <w:r>
        <w:rPr/>
        <w:t xml:space="preserve">14.07.2026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CB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duce-capacity-550-places-across-reception-centres" TargetMode="External"/><Relationship Id="rId8" Type="http://schemas.openxmlformats.org/officeDocument/2006/relationships/hyperlink" Target="/developments" TargetMode="External"/><Relationship Id="rId9" Type="http://schemas.openxmlformats.org/officeDocument/2006/relationships/hyperlink" Target="https://www.udi.no/aktuelt/sier-opp-550-mottaksplass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2026-07-30T09:42:48+00:00</dcterms:created>
  <dcterms:modified xsi:type="dcterms:W3CDTF">2026-07-30T09:42:48+00:00</dcterms:modified>
</cp:coreProperties>
</file>

<file path=docProps/custom.xml><?xml version="1.0" encoding="utf-8"?>
<Properties xmlns="http://schemas.openxmlformats.org/officeDocument/2006/custom-properties" xmlns:vt="http://schemas.openxmlformats.org/officeDocument/2006/docPropsVTypes"/>
</file>